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Climate Risk and Pricing Engine: A Quantitative Dossier for India's Carbon Credit Trading Scheme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operationalization of India’s Carbon Credit Trading Scheme (CCTS) represents a tectonic shift in the subcontinent's industrial and macroeconomic landscape. Moving away from the energy-efficiency focus of the legacy Perform, Achieve and Trade (PAT) scheme, the CCTS establishes a compliance-based, intensity-driven cap-and-trade system for greenhouse gas (GHG) emissions.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the industrial complexes categorized as Obligated Entities (OEs), carbon is no longer a peripheral sustainability metric; it is a highly volatile, legally binding financial liability.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this environment, deterministic carbon accounting software—which merely aggregates historical emissions data—is fundamentally inadequate.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What is required is an autonomous, quantitative risk and pricing engine capable of stochastic forecasting, continuous emissions monitoring, and dynamic portfolio optimization.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dossier outlines the architectural, mathematical, and commercial blueprint for a proprietary enterprise B2B risk engine designed specifically for the Indian Carbon Market (ICM). By synthesizing regulatory mechanics, advanced econometrics, and highly scalable SaaS monetization models, this framework provides the definitive blueprint for commercializing a mathematical moat in the climate finance sector.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1: The CCTS Quota and Compliance Engine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any quantitative model operating within the ICM relies on a rigorous programmatic understanding of the CCTS regulatory architecture. The transition from voluntary disclosures to statutory compliance necessitates an engine that can translate legislative text into executable code.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Architecture and Market Microstructure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Indian government, through the Ministry of Environment, Forest and Climate Change (MoEFCC) and the Bureau of Energy Efficiency (BEE), has instituted a phased rollout of the CCTS.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As of the initial compliance period spanning FY2025–26 to FY2026–27, the scheme encompasses approximately 490 designated industrial facilities across highly emission-intensive sectors.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phased notifications began in October 2025 covering Aluminium, Cement, Chlor-Alkali, and Pulp &amp; Paper, and expanded in January 2026 to include Petroleum Refineries, Petrochemicals, Textiles, and Secondary Aluminium.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CCTS operates on an intensity-based "baseline-and-credit" methodology.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imposing an absolute cap on emissions—which could constrain India's economic expansion—the regulator mandates a reduction in Greenhouse Gas Emission Intensity (GEI), calculated against a baseline established in FY2023–24.</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summarizes the sector-specific average reduction percentages mandated through 2027 based on MoEFCC notifications: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Sector / Sub-Sector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Number of Obligated Entities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GEI Reduction Percentage (by 2027)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Aluminium (Primary &amp; Secondary)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 - 7.06%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Cement (Integrated &amp; Grinding)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- 7.6%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Chlor-Alkali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- 11.0%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Pulp &amp; Paper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 to 15.0%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Petroleum Refining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- 6.0%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Petrochemicals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- 5.0%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Textiles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 - 12.0%</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aggregated from MoEFCC notifications and BEE disclosures illustrating the heterogeneity of compliance targets across the initial CCTS phases.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Note: Iron and Steel targets remain pending finalization but are slated for inclusion, bringing the total anticipated entity count to over 740.</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structural parameter of the engine is the "gate-to-gate" emissions boundary. The compliance logic must systematically isolate Scope 1 (direct process and combustion emissions) and Scope 2 (purchased electricity and heat) emissions generated strictly within the facility's physical boundaries.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Scope 3 emissions are currently excluded unless explicitly standardized and measurable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simplifying the immediate data ingestion requirements but necessitating high-fidelity tracking of direct fuel combustion and power procurement. Furthermore, the regulated greenhouse gases are currently limited to Carbon Dioxide (</w:t>
      </w:r>
      <w:r w:rsidDel="00000000" w:rsidR="00000000" w:rsidRPr="00000000">
        <w:rPr>
          <w:rFonts w:ascii="Google Sans" w:cs="Google Sans" w:eastAsia="Google Sans" w:hAnsi="Google Sans"/>
          <w:color w:val="1f1f1f"/>
        </w:rPr>
        <w:drawing>
          <wp:inline distB="19050" distT="19050" distL="19050" distR="19050">
            <wp:extent cx="359331" cy="237005"/>
            <wp:effectExtent b="0" l="0" r="0" t="0"/>
            <wp:docPr id="38"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359331" cy="237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Perfluorocarbons (PFCs).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Framework for GEI Tracking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function autonomously, the enterprise engine requires a continuous, algorithmic calculation of the facility's real-time GEI trajectory. The foundational logic utilizes data ingested via API from Continuous Emission Monitoring Systems (CEMS) and Enterprise Resource Planning (ERP) modules.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real-time Greenhouse Gas Emission Intensity (</w:t>
      </w:r>
      <w:r w:rsidDel="00000000" w:rsidR="00000000" w:rsidRPr="00000000">
        <w:rPr>
          <w:rFonts w:ascii="Google Sans" w:cs="Google Sans" w:eastAsia="Google Sans" w:hAnsi="Google Sans"/>
          <w:color w:val="1f1f1f"/>
        </w:rPr>
        <w:drawing>
          <wp:inline distB="19050" distT="19050" distL="19050" distR="19050">
            <wp:extent cx="428625" cy="237275"/>
            <wp:effectExtent b="0" l="0" r="0" t="0"/>
            <wp:docPr id="40"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428625" cy="2372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an entity at time </w:t>
      </w:r>
      <w:r w:rsidDel="00000000" w:rsidR="00000000" w:rsidRPr="00000000">
        <w:rPr>
          <w:rFonts w:ascii="Google Sans" w:cs="Google Sans" w:eastAsia="Google Sans" w:hAnsi="Google Sans"/>
          <w:color w:val="1f1f1f"/>
        </w:rPr>
        <w:drawing>
          <wp:inline distB="19050" distT="19050" distL="19050" distR="19050">
            <wp:extent cx="66556" cy="257904"/>
            <wp:effectExtent b="0" l="0" r="0" t="0"/>
            <wp:docPr id="3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6556" cy="25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as: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89322"/>
            <wp:effectExtent b="0" l="0" r="0" t="0"/>
            <wp:docPr id="42"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5905500" cy="58932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412313" cy="241164"/>
            <wp:effectExtent b="0" l="0" r="0" t="0"/>
            <wp:docPr id="41"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412313" cy="241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physical consumption of fuel type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46"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time </w:t>
      </w:r>
      <w:r w:rsidDel="00000000" w:rsidR="00000000" w:rsidRPr="00000000">
        <w:rPr>
          <w:rFonts w:ascii="Google Sans" w:cs="Google Sans" w:eastAsia="Google Sans" w:hAnsi="Google Sans"/>
          <w:color w:val="1f1f1f"/>
        </w:rPr>
        <w:drawing>
          <wp:inline distB="19050" distT="19050" distL="19050" distR="19050">
            <wp:extent cx="66556" cy="257904"/>
            <wp:effectExtent b="0" l="0" r="0" t="0"/>
            <wp:docPr id="4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6556" cy="25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454104" cy="234621"/>
            <wp:effectExtent b="0" l="0" r="0" t="0"/>
            <wp:docPr id="51"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454104" cy="2346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Net Calorific Value of fuel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49"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determined via required proximate and ultimate laboratory analysis.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18968" cy="241171"/>
            <wp:effectExtent b="0" l="0" r="0" t="0"/>
            <wp:docPr id="56"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318968" cy="2411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standardized emission factor for fuel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52"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(e.g., specific carbon content and oxidation limits established by the BEE).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34327" cy="241027"/>
            <wp:effectExtent b="0" l="0" r="0" t="0"/>
            <wp:docPr id="54" name="image57.png"/>
            <a:graphic>
              <a:graphicData uri="http://schemas.openxmlformats.org/drawingml/2006/picture">
                <pic:pic>
                  <pic:nvPicPr>
                    <pic:cNvPr id="0" name="image57.png"/>
                    <pic:cNvPicPr preferRelativeResize="0"/>
                  </pic:nvPicPr>
                  <pic:blipFill>
                    <a:blip r:embed="rId14"/>
                    <a:srcRect b="0" l="0" r="0" t="0"/>
                    <a:stretch>
                      <a:fillRect/>
                    </a:stretch>
                  </pic:blipFill>
                  <pic:spPr>
                    <a:xfrm>
                      <a:off x="0" y="0"/>
                      <a:ext cx="334327" cy="2410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quantum of purchased electricity.</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514112" cy="237873"/>
            <wp:effectExtent b="0" l="0" r="0" t="0"/>
            <wp:docPr id="57"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514112" cy="2378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regional grid emission factor (e.g., Central Electricity Authority grid factors for Indian states).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74188" cy="245447"/>
            <wp:effectExtent b="0" l="0" r="0" t="0"/>
            <wp:docPr id="59"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174188" cy="2454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total equivalent product output at time </w:t>
      </w:r>
      <w:r w:rsidDel="00000000" w:rsidR="00000000" w:rsidRPr="00000000">
        <w:rPr>
          <w:rFonts w:ascii="Google Sans" w:cs="Google Sans" w:eastAsia="Google Sans" w:hAnsi="Google Sans"/>
          <w:color w:val="1f1f1f"/>
        </w:rPr>
        <w:drawing>
          <wp:inline distB="19050" distT="19050" distL="19050" distR="19050">
            <wp:extent cx="66556" cy="257904"/>
            <wp:effectExtent b="0" l="0" r="0" t="0"/>
            <wp:docPr id="6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6556" cy="25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conclusion of the compliance cycle (typically culminating in July), the firm's entitlement to Carbon Credit Certificates (CCCs) or its compliance deficit is determined by calculating the delta between the mandated target (</w:t>
      </w:r>
      <w:r w:rsidDel="00000000" w:rsidR="00000000" w:rsidRPr="00000000">
        <w:rPr>
          <w:rFonts w:ascii="Google Sans" w:cs="Google Sans" w:eastAsia="Google Sans" w:hAnsi="Google Sans"/>
          <w:color w:val="1f1f1f"/>
        </w:rPr>
        <w:drawing>
          <wp:inline distB="19050" distT="19050" distL="19050" distR="19050">
            <wp:extent cx="731877" cy="236335"/>
            <wp:effectExtent b="0" l="0" r="0" t="0"/>
            <wp:docPr id="63" name="image53.png"/>
            <a:graphic>
              <a:graphicData uri="http://schemas.openxmlformats.org/drawingml/2006/picture">
                <pic:pic>
                  <pic:nvPicPr>
                    <pic:cNvPr id="0" name="image53.png"/>
                    <pic:cNvPicPr preferRelativeResize="0"/>
                  </pic:nvPicPr>
                  <pic:blipFill>
                    <a:blip r:embed="rId17"/>
                    <a:srcRect b="0" l="0" r="0" t="0"/>
                    <a:stretch>
                      <a:fillRect/>
                    </a:stretch>
                  </pic:blipFill>
                  <pic:spPr>
                    <a:xfrm>
                      <a:off x="0" y="0"/>
                      <a:ext cx="731877" cy="2363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verified achieved intensity (</w:t>
      </w:r>
      <w:r w:rsidDel="00000000" w:rsidR="00000000" w:rsidRPr="00000000">
        <w:rPr>
          <w:rFonts w:ascii="Google Sans" w:cs="Google Sans" w:eastAsia="Google Sans" w:hAnsi="Google Sans"/>
          <w:color w:val="1f1f1f"/>
        </w:rPr>
        <w:drawing>
          <wp:inline distB="19050" distT="19050" distL="19050" distR="19050">
            <wp:extent cx="879991" cy="237215"/>
            <wp:effectExtent b="0" l="0" r="0" t="0"/>
            <wp:docPr id="65" name="image55.png"/>
            <a:graphic>
              <a:graphicData uri="http://schemas.openxmlformats.org/drawingml/2006/picture">
                <pic:pic>
                  <pic:nvPicPr>
                    <pic:cNvPr id="0" name="image55.png"/>
                    <pic:cNvPicPr preferRelativeResize="0"/>
                  </pic:nvPicPr>
                  <pic:blipFill>
                    <a:blip r:embed="rId18"/>
                    <a:srcRect b="0" l="0" r="0" t="0"/>
                    <a:stretch>
                      <a:fillRect/>
                    </a:stretch>
                  </pic:blipFill>
                  <pic:spPr>
                    <a:xfrm>
                      <a:off x="0" y="0"/>
                      <a:ext cx="879991" cy="2372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1857737" cy="236995"/>
            <wp:effectExtent b="0" l="0" r="0" t="0"/>
            <wp:docPr id="66"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1857737" cy="2369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firm is in surplus and generates marketable assets: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67" name="image58.png"/>
            <a:graphic>
              <a:graphicData uri="http://schemas.openxmlformats.org/drawingml/2006/picture">
                <pic:pic>
                  <pic:nvPicPr>
                    <pic:cNvPr id="0" name="image58.png"/>
                    <pic:cNvPicPr preferRelativeResize="0"/>
                  </pic:nvPicPr>
                  <pic:blipFill>
                    <a:blip r:embed="rId20"/>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1857737" cy="236995"/>
            <wp:effectExtent b="0" l="0" r="0" t="0"/>
            <wp:docPr id="68"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1857737" cy="2369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firm faces a compliance deficit requiring market procurement: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2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Each CCC corresponds exactly to one metric tonne of </w:t>
      </w:r>
      <w:r w:rsidDel="00000000" w:rsidR="00000000" w:rsidRPr="00000000">
        <w:rPr>
          <w:rFonts w:ascii="Google Sans" w:cs="Google Sans" w:eastAsia="Google Sans" w:hAnsi="Google Sans"/>
          <w:color w:val="1f1f1f"/>
        </w:rPr>
        <w:drawing>
          <wp:inline distB="19050" distT="19050" distL="19050" distR="19050">
            <wp:extent cx="359331" cy="237005"/>
            <wp:effectExtent b="0" l="0" r="0" t="0"/>
            <wp:docPr id="26"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359331" cy="2370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equivalent (</w:t>
      </w:r>
      <w:r w:rsidDel="00000000" w:rsidR="00000000" w:rsidRPr="00000000">
        <w:rPr>
          <w:rFonts w:ascii="Google Sans" w:cs="Google Sans" w:eastAsia="Google Sans" w:hAnsi="Google Sans"/>
          <w:color w:val="1f1f1f"/>
        </w:rPr>
        <w:drawing>
          <wp:inline distB="19050" distT="19050" distL="19050" distR="19050">
            <wp:extent cx="511850" cy="236826"/>
            <wp:effectExtent b="0" l="0" r="0" t="0"/>
            <wp:docPr id="28"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11850" cy="2368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 Workflows and Verification Architecture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software cannot merely calculate formulas; it must facilitate the rigorous audit trails demanded by the ICM registry. The CCTS mandates that obligated entities undergo validation by Accredited Carbon Verification Agencies (ACVAs).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engine must automate the compilation of the Performance Assessment Document (Form A) and the Certificate of Verification (Form B).</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regulations institute a dual-verification requirement. Following the primary ACVA audit, an independent check-verification must be conducted to yield Form C (Certificate of Check-Verification).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software engine must therefore feature role-based access controls and immutable ledgering (potentially leveraging blockchain primitives for data provenance) to satisfy the completeness checks, desk reviews, and resolution of Corrective Action Requests (CARs) mandated by the BEE's ACVA guidelines.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Threshold Mechanics and "Watchdog" Module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value proposition of the enterprise engine lies in its "Watchdog" module—a dynamic alerting system that predicts compliance status well before the annual reconciliation. Because non-compliance incurs severe financial penalties—specifically, an environmental compensation penalty fixed at twice the average market price of a CCC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—corporate balance sheets are exposed to substantial punitive risk.</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Watchdog module functions via a rolling interpolation of annual GEI targets into daily or monthly milestones. By applying moving averages and seasonal decomposition to industrial output cycles, the engine maps a forecasted trajectory.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122992" cy="230609"/>
            <wp:effectExtent b="0" l="0" r="0" t="0"/>
            <wp:docPr id="30"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122992" cy="230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 the expected emission intensity at the end of the compliance period </w:t>
      </w:r>
      <w:r w:rsidDel="00000000" w:rsidR="00000000" w:rsidRPr="00000000">
        <w:rPr>
          <w:rFonts w:ascii="Google Sans" w:cs="Google Sans" w:eastAsia="Google Sans" w:hAnsi="Google Sans"/>
          <w:color w:val="1f1f1f"/>
        </w:rPr>
        <w:drawing>
          <wp:inline distB="19050" distT="19050" distL="19050" distR="19050">
            <wp:extent cx="133350" cy="243168"/>
            <wp:effectExtent b="0" l="0" r="0" t="0"/>
            <wp:docPr id="32"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133350" cy="2431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engine calculates the probability of breaching the target threshold: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33"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88476" cy="211093"/>
            <wp:effectExtent b="0" l="0" r="0" t="0"/>
            <wp:docPr id="34"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188476" cy="2110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filtration representing all operational data available up to time </w:t>
      </w:r>
      <w:r w:rsidDel="00000000" w:rsidR="00000000" w:rsidRPr="00000000">
        <w:rPr>
          <w:rFonts w:ascii="Google Sans" w:cs="Google Sans" w:eastAsia="Google Sans" w:hAnsi="Google Sans"/>
          <w:color w:val="1f1f1f"/>
        </w:rPr>
        <w:drawing>
          <wp:inline distB="19050" distT="19050" distL="19050" distR="19050">
            <wp:extent cx="66556" cy="257904"/>
            <wp:effectExtent b="0" l="0" r="0" t="0"/>
            <wp:docPr id="3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6556" cy="25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889278" cy="237652"/>
            <wp:effectExtent b="0" l="0" r="0" t="0"/>
            <wp:docPr id="36" name="image43.png"/>
            <a:graphic>
              <a:graphicData uri="http://schemas.openxmlformats.org/drawingml/2006/picture">
                <pic:pic>
                  <pic:nvPicPr>
                    <pic:cNvPr id="0" name="image43.png"/>
                    <pic:cNvPicPr preferRelativeResize="0"/>
                  </pic:nvPicPr>
                  <pic:blipFill>
                    <a:blip r:embed="rId28"/>
                    <a:srcRect b="0" l="0" r="0" t="0"/>
                    <a:stretch>
                      <a:fillRect/>
                    </a:stretch>
                  </pic:blipFill>
                  <pic:spPr>
                    <a:xfrm>
                      <a:off x="0" y="0"/>
                      <a:ext cx="889278" cy="2376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exceeds a user-defined risk tolerance (e.g., 5%), the Watchdog triggers a preemptive market mandate, alerting the treasury or procurement desk to initiate forward contracts for CCCs before spot market prices escalate due to compliance-season demand crunches. This predictive capability transitions a firm's regulatory strategy from reactive compliance to proactive asset-liability management.</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2: Quantitative Pricing Architecture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secondary layer of the software ecosystem is the Quantitative Pricing Architecture. CCCs are slated to be traded on specialized power exchanges, primarily the Indian Energy Exchange (IEX) and the National Stock Exchange (NSE), governed by the Central Electricity Regulatory Commission (CERC) by mid-to-late 2026.</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Accurately forecasting the spot and forward prices of CCCs in a nascent, policy-driven market requires sophisticated econometric modeling.</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Exchange Dynamics and Regulatory Bounds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March 2026, the CERC issued the final regulations governing CCC transactions.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Crucially, the regulator introduced a price-band framework featuring a "Floor Price" (a guaranteed minimum) and a "Forbearance Price" (a statutory maximum).</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price corridor, designed to prevent the extreme price collapses observed in the early phases of the EU Emissions Trading System (EU ETS), directly shapes the stochastic properties of the market.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Transactions will be conducted through anonymous order matching systems with monthly trading cycles, mirroring the contract specifications of existing energy derivatives.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regulatory framework ensures market integrity by forbidding entities from placing sale bids that exceed the physical inventory held in their respective Grid Controller of India (Grid-India) registry accounts.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constraint structurally limits short-selling, inherently skewing market liquidity and bid-ask spreads during the initial market phase, particularly given that a breach results in voided bids and trading suspensions.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Dual-Layer Pricing Algorithm: ARIMA-GARCH Integration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Carbon markets exhibit stylized econometric facts that deviate significantly from standard equity or commodity markets. Specifically, carbon prices display non-stationarity, extreme volatility clustering, jump-diffusions caused by regulatory announcements, and heavy-tailed (leptokurtic) distributions.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 deterministic forecasting model is useless in this context. Therefore, the pricing engine deploys a dual-layer, time-series algorithm integrating Autoregressive Integrated Moving Average (ARIMA) modeling with Generalized Autoregressive Conditional Heteroskedasticity (GARCH) frameworks.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1: Mean Return Forecasting via ARIMAX-LASSO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base layer captures the linear dependencies and fundamental trends in the CCC spot price. Because carbon prices are heavily influenced by exogenous macroeconomic factors—such as crude oil prices, NIFTY 50 stock indices, and exchange rate data—an ARIMAX (ARIMA with Exogenous Inputs) model is superior to simple ARIMA.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To optimize feature selection among numerous macroeconomic indicators, the engine utilizes a Least Absolute Shrinkage and Selection Operator (LASSO) regression technique, effectively eliminating low-score features and retaining only the most statistically significant predictors.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w:t>
      </w:r>
      <w:r w:rsidDel="00000000" w:rsidR="00000000" w:rsidRPr="00000000">
        <w:rPr>
          <w:rFonts w:ascii="Google Sans" w:cs="Google Sans" w:eastAsia="Google Sans" w:hAnsi="Google Sans"/>
          <w:color w:val="1f1f1f"/>
        </w:rPr>
        <w:drawing>
          <wp:inline distB="19050" distT="19050" distL="19050" distR="19050">
            <wp:extent cx="146209" cy="251804"/>
            <wp:effectExtent b="0" l="0" r="0" t="0"/>
            <wp:docPr id="37"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146209" cy="251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log-return of the carbon price at time </w:t>
      </w:r>
      <w:r w:rsidDel="00000000" w:rsidR="00000000" w:rsidRPr="00000000">
        <w:rPr>
          <w:rFonts w:ascii="Google Sans" w:cs="Google Sans" w:eastAsia="Google Sans" w:hAnsi="Google Sans"/>
          <w:color w:val="1f1f1f"/>
        </w:rPr>
        <w:drawing>
          <wp:inline distB="19050" distT="19050" distL="19050" distR="19050">
            <wp:extent cx="66556" cy="257904"/>
            <wp:effectExtent b="0" l="0" r="0" t="0"/>
            <wp:docPr id="1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6556" cy="257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08478" cy="239364"/>
            <wp:effectExtent b="0" l="0" r="0" t="0"/>
            <wp:docPr id="12"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208478" cy="2393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vector of exogenous variables selected by LASSO. The ARIMAX process models the conditional mean: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13"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25611" cy="243371"/>
            <wp:effectExtent b="0" l="0" r="0" t="0"/>
            <wp:docPr id="14"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125611" cy="243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lag operator.</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402312" cy="239840"/>
            <wp:effectExtent b="0" l="0" r="0" t="0"/>
            <wp:docPr id="15"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402312" cy="239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12671" cy="241373"/>
            <wp:effectExtent b="0" l="0" r="0" t="0"/>
            <wp:docPr id="16"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412671" cy="2413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polynomials of order </w:t>
      </w:r>
      <w:r w:rsidDel="00000000" w:rsidR="00000000" w:rsidRPr="00000000">
        <w:rPr>
          <w:rFonts w:ascii="Google Sans" w:cs="Google Sans" w:eastAsia="Google Sans" w:hAnsi="Google Sans"/>
          <w:color w:val="1f1f1f"/>
        </w:rPr>
        <w:drawing>
          <wp:inline distB="19050" distT="19050" distL="19050" distR="19050">
            <wp:extent cx="92750" cy="239603"/>
            <wp:effectExtent b="0" l="0" r="0" t="0"/>
            <wp:docPr id="17"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92750" cy="2396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(autoregressive terms) and </w:t>
      </w:r>
      <w:r w:rsidDel="00000000" w:rsidR="00000000" w:rsidRPr="00000000">
        <w:rPr>
          <w:rFonts w:ascii="Google Sans" w:cs="Google Sans" w:eastAsia="Google Sans" w:hAnsi="Google Sans"/>
          <w:color w:val="1f1f1f"/>
        </w:rPr>
        <w:drawing>
          <wp:inline distB="19050" distT="19050" distL="19050" distR="19050">
            <wp:extent cx="88821" cy="250313"/>
            <wp:effectExtent b="0" l="0" r="0" t="0"/>
            <wp:docPr id="18"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88821" cy="250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(moving average terms), respectively.</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663178" cy="236305"/>
            <wp:effectExtent b="0" l="0" r="0" t="0"/>
            <wp:docPr id="19"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663178" cy="2363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differencing operator required to achieve stationarity.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30731" cy="238391"/>
            <wp:effectExtent b="0" l="0" r="0" t="0"/>
            <wp:docPr id="20"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30731" cy="238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residual error term, which, rather than being homoskedastic (constant variance), is fed into the second layer of the algorithm.</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Layer 2: Volatility Clustering via Asymmetric GARCH Variants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carbon markets are driven by abrupt policy shifts and clustered trading behaviors around compliance deadlines, the variance of the error term </w:t>
      </w:r>
      <w:r w:rsidDel="00000000" w:rsidR="00000000" w:rsidRPr="00000000">
        <w:rPr>
          <w:rFonts w:ascii="Google Sans" w:cs="Google Sans" w:eastAsia="Google Sans" w:hAnsi="Google Sans"/>
          <w:color w:val="1f1f1f"/>
        </w:rPr>
        <w:drawing>
          <wp:inline distB="19050" distT="19050" distL="19050" distR="19050">
            <wp:extent cx="130731" cy="238391"/>
            <wp:effectExtent b="0" l="0" r="0" t="0"/>
            <wp:docPr id="1"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30731" cy="238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highly dynamic. The engine models this conditional variance (</w:t>
      </w:r>
      <w:r w:rsidDel="00000000" w:rsidR="00000000" w:rsidRPr="00000000">
        <w:rPr>
          <w:rFonts w:ascii="Google Sans" w:cs="Google Sans" w:eastAsia="Google Sans" w:hAnsi="Google Sans"/>
          <w:color w:val="1f1f1f"/>
        </w:rPr>
        <w:drawing>
          <wp:inline distB="19050" distT="19050" distL="19050" distR="19050">
            <wp:extent cx="162044" cy="239208"/>
            <wp:effectExtent b="0" l="0" r="0" t="0"/>
            <wp:docPr id="2"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162044" cy="2392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GARCH variants.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standard GARCH(1,1) specification models variance as: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130"/>
            <wp:effectExtent b="0" l="0" r="0" t="0"/>
            <wp:docPr id="3"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905500" cy="44813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4"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21206" cy="234836"/>
            <wp:effectExtent b="0" l="0" r="0" t="0"/>
            <wp:docPr id="5"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121206" cy="2348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baseline variance, the ARCH term (</w:t>
      </w:r>
      <w:r w:rsidDel="00000000" w:rsidR="00000000" w:rsidRPr="00000000">
        <w:rPr>
          <w:rFonts w:ascii="Google Sans" w:cs="Google Sans" w:eastAsia="Google Sans" w:hAnsi="Google Sans"/>
          <w:color w:val="1f1f1f"/>
        </w:rPr>
        <w:drawing>
          <wp:inline distB="19050" distT="19050" distL="19050" distR="19050">
            <wp:extent cx="414338" cy="233536"/>
            <wp:effectExtent b="0" l="0" r="0" t="0"/>
            <wp:docPr id="6"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414338" cy="2335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captures short-term shocks, and the GARCH term (</w:t>
      </w:r>
      <w:r w:rsidDel="00000000" w:rsidR="00000000" w:rsidRPr="00000000">
        <w:rPr>
          <w:rFonts w:ascii="Google Sans" w:cs="Google Sans" w:eastAsia="Google Sans" w:hAnsi="Google Sans"/>
          <w:color w:val="1f1f1f"/>
        </w:rPr>
        <w:drawing>
          <wp:inline distB="19050" distT="19050" distL="19050" distR="19050">
            <wp:extent cx="441127" cy="239911"/>
            <wp:effectExtent b="0" l="0" r="0" t="0"/>
            <wp:docPr id="7"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441127" cy="2399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captures the persistence of volatility.</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carbon markets react asymmetrically to news. Regulatory announcements regarding target tightening typically cause sharper price spikes than announcements regarding market oversupply. To capture this leverage effect, the engine utilizes Exponential GARCH (EGARCH) or GJR-GARCH formulations.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Furthermore, to account for the heavy-tailed nature of carbon market returns, the distribution of the standardized residuals </w:t>
      </w:r>
      <w:r w:rsidDel="00000000" w:rsidR="00000000" w:rsidRPr="00000000">
        <w:rPr>
          <w:rFonts w:ascii="Google Sans" w:cs="Google Sans" w:eastAsia="Google Sans" w:hAnsi="Google Sans"/>
          <w:color w:val="1f1f1f"/>
        </w:rPr>
        <w:drawing>
          <wp:inline distB="19050" distT="19050" distL="19050" distR="19050">
            <wp:extent cx="141565" cy="243807"/>
            <wp:effectExtent b="0" l="0" r="0" t="0"/>
            <wp:docPr id="8"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141565" cy="2438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modeled using a Student's t-distribution (EGARCH-t) or a two-sided Lindley innovation distribution, rather than a standard Gaussian normal distribution.</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long-term non-linear forecasting, the econometric outputs are fused with a Long Short-Term Memory (LSTM) neural network. The GARCH-LSTM hybrid framework captures the long memory characteristics of the time series, utilizing forget gates and input gates to filter noise, demonstrating superior predictive accuracy over standalone statistical models.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Liquidity Fragmentation and Sectoral Asymmetry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capability of the pricing engine is mapping the supply-demand microstructure, which in the ICM is driven by the Marginal Abatement Cost Curve (MACC) heterogeneities across sectors.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cost of mitigating one tonne of </w:t>
      </w:r>
      <w:r w:rsidDel="00000000" w:rsidR="00000000" w:rsidRPr="00000000">
        <w:rPr>
          <w:rFonts w:ascii="Google Sans" w:cs="Google Sans" w:eastAsia="Google Sans" w:hAnsi="Google Sans"/>
          <w:color w:val="1f1f1f"/>
        </w:rPr>
        <w:drawing>
          <wp:inline distB="19050" distT="19050" distL="19050" distR="19050">
            <wp:extent cx="445294" cy="238002"/>
            <wp:effectExtent b="0" l="0" r="0" t="0"/>
            <wp:docPr id="9"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445294" cy="238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varies wildly across the designated CCTS industries. The following table illustrates the MACC disparities and compliance behaviors expected across key sectors: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Industrial Sector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Marginal Abatement Cost (USD/tCO2e)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Abatement Levers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Anticipated Market Position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Aluminium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to $0 (Net Savings)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 efficiency, waste-heat recovery, inert anodes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Supplier (Surplus CCCs)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to $30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Clinker substitution, alternative fuels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Mixed (Neutral to Buyer)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Iron &amp; Steel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to $100+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Green hydrogen DRI, Electric Arc Furnaces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Buyer (Deficit CCCs)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Textiles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to $60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Biomass fuel switching, process electrification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Buyer</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aggregated from sectoral MACC analyses indicating profound cost discrepancies across the Indian industrial landscape.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Aluminium producers can abate millions of tonnes of emissions at negative or negligible marginal costs, allowing them to easily over-deliver on targets and generate surplus credits.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Conversely, the iron and steel sector faces a steep MACC, having already exhausted inexpensive mitigation levers to meet previous energy efficiency mandates; these entities will act as structural buyers.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pricing algorithm accounts for this structural asymmetry. By scraping production output data and cross-referencing it with sectoral MACC estimates, the engine forecasts macro-level market supply (</w:t>
      </w:r>
      <w:r w:rsidDel="00000000" w:rsidR="00000000" w:rsidRPr="00000000">
        <w:rPr>
          <w:rFonts w:ascii="Google Sans" w:cs="Google Sans" w:eastAsia="Google Sans" w:hAnsi="Google Sans"/>
          <w:color w:val="1f1f1f"/>
        </w:rPr>
        <w:drawing>
          <wp:inline distB="19050" distT="19050" distL="19050" distR="19050">
            <wp:extent cx="1079897" cy="237424"/>
            <wp:effectExtent b="0" l="0" r="0" t="0"/>
            <wp:docPr id="10"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1079897" cy="2374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market demand (</w:t>
      </w:r>
      <w:r w:rsidDel="00000000" w:rsidR="00000000" w:rsidRPr="00000000">
        <w:rPr>
          <w:rFonts w:ascii="Google Sans" w:cs="Google Sans" w:eastAsia="Google Sans" w:hAnsi="Google Sans"/>
          <w:color w:val="1f1f1f"/>
        </w:rPr>
        <w:drawing>
          <wp:inline distB="19050" distT="19050" distL="19050" distR="19050">
            <wp:extent cx="1039301" cy="236900"/>
            <wp:effectExtent b="0" l="0" r="0" t="0"/>
            <wp:docPr id="44" name="image44.png"/>
            <a:graphic>
              <a:graphicData uri="http://schemas.openxmlformats.org/drawingml/2006/picture">
                <pic:pic>
                  <pic:nvPicPr>
                    <pic:cNvPr id="0" name="image44.png"/>
                    <pic:cNvPicPr preferRelativeResize="0"/>
                  </pic:nvPicPr>
                  <pic:blipFill>
                    <a:blip r:embed="rId48"/>
                    <a:srcRect b="0" l="0" r="0" t="0"/>
                    <a:stretch>
                      <a:fillRect/>
                    </a:stretch>
                  </pic:blipFill>
                  <pic:spPr>
                    <a:xfrm>
                      <a:off x="0" y="0"/>
                      <a:ext cx="1039301" cy="2369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engine predicts periodic liquidity crunches—particularly towards the July compliance reconciliation deadlines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—and models the anticipated widening of bid-ask spreads on the IEX. In markets lacking perfect fungibility or facing severe supply hoarding (where firms bank CCCs rather than sell them to hedge future targets), the engine allows trading desks to execute block purchases when the algorithm detects temporary liquidity depth.</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3: Risk Management and Portfolio Optimization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calculating quotas and predicting prices are essential operational functions, the apex utility of the quantitative engine lies in enterprise risk management. Climate compliance under the CCTS poses an existential financial risk; failure to hedge against carbon price appreciation or sudden regulatory tightening can heavily impact operating margins. Industry analyses indicate that under a </w:t>
      </w:r>
      <w:r w:rsidDel="00000000" w:rsidR="00000000" w:rsidRPr="00000000">
        <w:rPr>
          <w:rFonts w:ascii="Google Sans" w:cs="Google Sans" w:eastAsia="Google Sans" w:hAnsi="Google Sans"/>
          <w:color w:val="1f1f1f"/>
        </w:rPr>
        <w:drawing>
          <wp:inline distB="19050" distT="19050" distL="19050" distR="19050">
            <wp:extent cx="788432" cy="237295"/>
            <wp:effectExtent b="0" l="0" r="0" t="0"/>
            <wp:docPr id="47" name="image41.png"/>
            <a:graphic>
              <a:graphicData uri="http://schemas.openxmlformats.org/drawingml/2006/picture">
                <pic:pic>
                  <pic:nvPicPr>
                    <pic:cNvPr id="0" name="image41.png"/>
                    <pic:cNvPicPr preferRelativeResize="0"/>
                  </pic:nvPicPr>
                  <pic:blipFill>
                    <a:blip r:embed="rId49"/>
                    <a:srcRect b="0" l="0" r="0" t="0"/>
                    <a:stretch>
                      <a:fillRect/>
                    </a:stretch>
                  </pic:blipFill>
                  <pic:spPr>
                    <a:xfrm>
                      <a:off x="0" y="0"/>
                      <a:ext cx="788432" cy="2372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pricing scenario, profitability for certain cement companies could plummet by up to 19% by FY2027.</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Risk Watchdog: Managing Transition Risk</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Transition risk refers to the financial fallout resulting from policy changes as the economy shifts toward a low-carbon baseline.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In the context of the CCTS, the BEE is mandated to review sectoral benchmarks roughly every three years, ratcheting up stringency to align with India’s net-zero 2070 pathway.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risk engine models these "carbon premium shocks"—sudden, discontinuous jumps in the cost of compliance driven by policy shifts.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utilizing the outputs of the EGARCH volatility module, the engine dynamically calculates the increased cost of capital required to service future compliance deficits. It informs the Chief Financial Officer (CFO) of the exact tipping point where investing in physical decarbonization infrastructure (e.g., biomass boilers or carbon capture systems) becomes financially optimal compared to purchasing CCCs on the open market.</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Tail-Risk Quantification: VaR and Expected Shortfall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translate theoretical climate risk into board-level financial metrics, the engine employs Climate Value at Risk (VaR) and Conditional VaR (CVaR), also known as Expected Shortfall.</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These metrics quantify the maximum potential financial hemorrhage a firm faces over a given horizon, at a specified confidence level, due to CCTS exposure.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Climate Value at Risk (VaR):</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firm's projected CCC deficit </w:t>
      </w:r>
      <w:r w:rsidDel="00000000" w:rsidR="00000000" w:rsidRPr="00000000">
        <w:rPr>
          <w:rFonts w:ascii="Google Sans" w:cs="Google Sans" w:eastAsia="Google Sans" w:hAnsi="Google Sans"/>
          <w:color w:val="1f1f1f"/>
        </w:rPr>
        <w:drawing>
          <wp:inline distB="19050" distT="19050" distL="19050" distR="19050">
            <wp:extent cx="255151" cy="239687"/>
            <wp:effectExtent b="0" l="0" r="0" t="0"/>
            <wp:docPr id="48"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255151" cy="2396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stochastic carbon price </w:t>
      </w:r>
      <w:r w:rsidDel="00000000" w:rsidR="00000000" w:rsidRPr="00000000">
        <w:rPr>
          <w:rFonts w:ascii="Google Sans" w:cs="Google Sans" w:eastAsia="Google Sans" w:hAnsi="Google Sans"/>
          <w:color w:val="1f1f1f"/>
        </w:rPr>
        <w:drawing>
          <wp:inline distB="19050" distT="19050" distL="19050" distR="19050">
            <wp:extent cx="220861" cy="244525"/>
            <wp:effectExtent b="0" l="0" r="0" t="0"/>
            <wp:docPr id="50"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220861" cy="2445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financial exposure at time </w:t>
      </w:r>
      <w:r w:rsidDel="00000000" w:rsidR="00000000" w:rsidRPr="00000000">
        <w:rPr>
          <w:rFonts w:ascii="Google Sans" w:cs="Google Sans" w:eastAsia="Google Sans" w:hAnsi="Google Sans"/>
          <w:color w:val="1f1f1f"/>
        </w:rPr>
        <w:drawing>
          <wp:inline distB="19050" distT="19050" distL="19050" distR="19050">
            <wp:extent cx="133350" cy="243168"/>
            <wp:effectExtent b="0" l="0" r="0" t="0"/>
            <wp:docPr id="53"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133350" cy="2431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w:t>
      </w:r>
      <w:r w:rsidDel="00000000" w:rsidR="00000000" w:rsidRPr="00000000">
        <w:rPr>
          <w:rFonts w:ascii="Google Sans" w:cs="Google Sans" w:eastAsia="Google Sans" w:hAnsi="Google Sans"/>
          <w:color w:val="1f1f1f"/>
        </w:rPr>
        <w:drawing>
          <wp:inline distB="19050" distT="19050" distL="19050" distR="19050">
            <wp:extent cx="1175385" cy="238150"/>
            <wp:effectExtent b="0" l="0" r="0" t="0"/>
            <wp:docPr id="55" name="image45.png"/>
            <a:graphic>
              <a:graphicData uri="http://schemas.openxmlformats.org/drawingml/2006/picture">
                <pic:pic>
                  <pic:nvPicPr>
                    <pic:cNvPr id="0" name="image45.png"/>
                    <pic:cNvPicPr preferRelativeResize="0"/>
                  </pic:nvPicPr>
                  <pic:blipFill>
                    <a:blip r:embed="rId52"/>
                    <a:srcRect b="0" l="0" r="0" t="0"/>
                    <a:stretch>
                      <a:fillRect/>
                    </a:stretch>
                  </pic:blipFill>
                  <pic:spPr>
                    <a:xfrm>
                      <a:off x="0" y="0"/>
                      <a:ext cx="1175385" cy="2381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VaR at a confidence level </w:t>
      </w:r>
      <w:r w:rsidDel="00000000" w:rsidR="00000000" w:rsidRPr="00000000">
        <w:rPr>
          <w:rFonts w:ascii="Google Sans" w:cs="Google Sans" w:eastAsia="Google Sans" w:hAnsi="Google Sans"/>
          <w:color w:val="1f1f1f"/>
        </w:rPr>
        <w:drawing>
          <wp:inline distB="19050" distT="19050" distL="19050" distR="19050">
            <wp:extent cx="436245" cy="237256"/>
            <wp:effectExtent b="0" l="0" r="0" t="0"/>
            <wp:docPr id="58" name="image49.png"/>
            <a:graphic>
              <a:graphicData uri="http://schemas.openxmlformats.org/drawingml/2006/picture">
                <pic:pic>
                  <pic:nvPicPr>
                    <pic:cNvPr id="0" name="image49.png"/>
                    <pic:cNvPicPr preferRelativeResize="0"/>
                  </pic:nvPicPr>
                  <pic:blipFill>
                    <a:blip r:embed="rId53"/>
                    <a:srcRect b="0" l="0" r="0" t="0"/>
                    <a:stretch>
                      <a:fillRect/>
                    </a:stretch>
                  </pic:blipFill>
                  <pic:spPr>
                    <a:xfrm>
                      <a:off x="0" y="0"/>
                      <a:ext cx="436245" cy="2372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(e.g., 95% or 99%) is defined as the threshold loss such that the probability that the actual loss exceeds this threshold is exactly </w:t>
      </w:r>
      <w:r w:rsidDel="00000000" w:rsidR="00000000" w:rsidRPr="00000000">
        <w:rPr>
          <w:rFonts w:ascii="Google Sans" w:cs="Google Sans" w:eastAsia="Google Sans" w:hAnsi="Google Sans"/>
          <w:color w:val="1f1f1f"/>
        </w:rPr>
        <w:drawing>
          <wp:inline distB="19050" distT="19050" distL="19050" distR="19050">
            <wp:extent cx="118586" cy="245078"/>
            <wp:effectExtent b="0" l="0" r="0" t="0"/>
            <wp:docPr id="60" name="image50.png"/>
            <a:graphic>
              <a:graphicData uri="http://schemas.openxmlformats.org/drawingml/2006/picture">
                <pic:pic>
                  <pic:nvPicPr>
                    <pic:cNvPr id="0" name="image50.png"/>
                    <pic:cNvPicPr preferRelativeResize="0"/>
                  </pic:nvPicPr>
                  <pic:blipFill>
                    <a:blip r:embed="rId54"/>
                    <a:srcRect b="0" l="0" r="0" t="0"/>
                    <a:stretch>
                      <a:fillRect/>
                    </a:stretch>
                  </pic:blipFill>
                  <pic:spPr>
                    <a:xfrm>
                      <a:off x="0" y="0"/>
                      <a:ext cx="118586" cy="2450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62" name="image52.png"/>
            <a:graphic>
              <a:graphicData uri="http://schemas.openxmlformats.org/drawingml/2006/picture">
                <pic:pic>
                  <pic:nvPicPr>
                    <pic:cNvPr id="0" name="image52.png"/>
                    <pic:cNvPicPr preferRelativeResize="0"/>
                  </pic:nvPicPr>
                  <pic:blipFill>
                    <a:blip r:embed="rId55"/>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standard VaR is fundamentally flawed in carbon markets because it fails to capture the severity of extreme tail events—a critical weakness when dealing with leptokurtic (fat-tailed) carbon price distributions driven by unpredictable regulatory shocks.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Conditional VaR (Expected Shortfall):</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this, the engine calculates the Expected Shortfall (</w:t>
      </w:r>
      <w:r w:rsidDel="00000000" w:rsidR="00000000" w:rsidRPr="00000000">
        <w:rPr>
          <w:rFonts w:ascii="Google Sans" w:cs="Google Sans" w:eastAsia="Google Sans" w:hAnsi="Google Sans"/>
          <w:color w:val="1f1f1f"/>
        </w:rPr>
        <w:drawing>
          <wp:inline distB="19050" distT="19050" distL="19050" distR="19050">
            <wp:extent cx="351949" cy="237183"/>
            <wp:effectExtent b="0" l="0" r="0" t="0"/>
            <wp:docPr id="64" name="image56.png"/>
            <a:graphic>
              <a:graphicData uri="http://schemas.openxmlformats.org/drawingml/2006/picture">
                <pic:pic>
                  <pic:nvPicPr>
                    <pic:cNvPr id="0" name="image56.png"/>
                    <pic:cNvPicPr preferRelativeResize="0"/>
                  </pic:nvPicPr>
                  <pic:blipFill>
                    <a:blip r:embed="rId56"/>
                    <a:srcRect b="0" l="0" r="0" t="0"/>
                    <a:stretch>
                      <a:fillRect/>
                    </a:stretch>
                  </pic:blipFill>
                  <pic:spPr>
                    <a:xfrm>
                      <a:off x="0" y="0"/>
                      <a:ext cx="351949" cy="2371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measures the expected magnitude of the financial loss </w:t>
      </w:r>
      <w:r w:rsidDel="00000000" w:rsidR="00000000" w:rsidRPr="00000000">
        <w:rPr>
          <w:rFonts w:ascii="Google Sans" w:cs="Google Sans" w:eastAsia="Google Sans" w:hAnsi="Google Sans"/>
          <w:i w:val="1"/>
          <w:iCs w:val="1"/>
          <w:color w:val="1f1f1f"/>
          <w:rtl w:val="0"/>
        </w:rPr>
        <w:t xml:space="preserve">given</w:t>
      </w:r>
      <w:r w:rsidDel="00000000" w:rsidR="00000000" w:rsidRPr="00000000">
        <w:rPr>
          <w:rFonts w:ascii="Google Sans" w:cs="Google Sans" w:eastAsia="Google Sans" w:hAnsi="Google Sans"/>
          <w:color w:val="1f1f1f"/>
          <w:rtl w:val="0"/>
        </w:rPr>
        <w:t xml:space="preserve"> that the loss has already exceeded the VaR threshold: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43" name="image37.png"/>
            <a:graphic>
              <a:graphicData uri="http://schemas.openxmlformats.org/drawingml/2006/picture">
                <pic:pic>
                  <pic:nvPicPr>
                    <pic:cNvPr id="0" name="image37.png"/>
                    <pic:cNvPicPr preferRelativeResize="0"/>
                  </pic:nvPicPr>
                  <pic:blipFill>
                    <a:blip r:embed="rId57"/>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89322"/>
            <wp:effectExtent b="0" l="0" r="0" t="0"/>
            <wp:docPr id="21" name="image20.png"/>
            <a:graphic>
              <a:graphicData uri="http://schemas.openxmlformats.org/drawingml/2006/picture">
                <pic:pic>
                  <pic:nvPicPr>
                    <pic:cNvPr id="0" name="image20.png"/>
                    <pic:cNvPicPr preferRelativeResize="0"/>
                  </pic:nvPicPr>
                  <pic:blipFill>
                    <a:blip r:embed="rId58"/>
                    <a:srcRect b="0" l="0" r="0" t="0"/>
                    <a:stretch>
                      <a:fillRect/>
                    </a:stretch>
                  </pic:blipFill>
                  <pic:spPr>
                    <a:xfrm>
                      <a:off x="0" y="0"/>
                      <a:ext cx="5905500" cy="58932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implementing Expected Shortfall, the engine provides the CFO with a mathematically robust provision for the absolute worst-case scenario. For example, if the CERC dramatically raises the forbearance price simultaneously with an unexpected spike in facility production, the firm's penalty exposure (calculated at twice the average CCC price) is accurately quantified.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 via Monte Carlo Simulations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provide actionable intelligence, the VaR and CVaR metrics must be stress-tested through comprehensive stochastic simulations. The engine deploys a Monte Carlo framework to generate tens of thousands of simulated market and operational pathways, incorporating macroeconomic trajectories established by the Network for Greening the Financial System (NGFS).</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simulation engine utilizes a Geometric Brownian Motion (GBM) coupled with a jump-diffusion process to model the future CCC spot price. The jump component mathematically represents the sudden price shocks intrinsic to compliance market announcements. The stochastic differential equation for the carbon price </w:t>
      </w:r>
      <w:r w:rsidDel="00000000" w:rsidR="00000000" w:rsidRPr="00000000">
        <w:rPr>
          <w:rFonts w:ascii="Google Sans" w:cs="Google Sans" w:eastAsia="Google Sans" w:hAnsi="Google Sans"/>
          <w:color w:val="1f1f1f"/>
        </w:rPr>
        <w:drawing>
          <wp:inline distB="19050" distT="19050" distL="19050" distR="19050">
            <wp:extent cx="174188" cy="245447"/>
            <wp:effectExtent b="0" l="0" r="0" t="0"/>
            <wp:docPr id="22"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174188" cy="2454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23" name="image24.png"/>
            <a:graphic>
              <a:graphicData uri="http://schemas.openxmlformats.org/drawingml/2006/picture">
                <pic:pic>
                  <pic:nvPicPr>
                    <pic:cNvPr id="0" name="image24.png"/>
                    <pic:cNvPicPr preferRelativeResize="0"/>
                  </pic:nvPicPr>
                  <pic:blipFill>
                    <a:blip r:embed="rId59"/>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11204" cy="229822"/>
            <wp:effectExtent b="0" l="0" r="0" t="0"/>
            <wp:docPr id="25" name="image21.png"/>
            <a:graphic>
              <a:graphicData uri="http://schemas.openxmlformats.org/drawingml/2006/picture">
                <pic:pic>
                  <pic:nvPicPr>
                    <pic:cNvPr id="0" name="image21.png"/>
                    <pic:cNvPicPr preferRelativeResize="0"/>
                  </pic:nvPicPr>
                  <pic:blipFill>
                    <a:blip r:embed="rId60"/>
                    <a:srcRect b="0" l="0" r="0" t="0"/>
                    <a:stretch>
                      <a:fillRect/>
                    </a:stretch>
                  </pic:blipFill>
                  <pic:spPr>
                    <a:xfrm>
                      <a:off x="0" y="0"/>
                      <a:ext cx="111204" cy="2298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drift parameter (derived from the ARIMAX mean forecast).</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11800" cy="231053"/>
            <wp:effectExtent b="0" l="0" r="0" t="0"/>
            <wp:docPr id="27" name="image23.png"/>
            <a:graphic>
              <a:graphicData uri="http://schemas.openxmlformats.org/drawingml/2006/picture">
                <pic:pic>
                  <pic:nvPicPr>
                    <pic:cNvPr id="0" name="image23.png"/>
                    <pic:cNvPicPr preferRelativeResize="0"/>
                  </pic:nvPicPr>
                  <pic:blipFill>
                    <a:blip r:embed="rId61"/>
                    <a:srcRect b="0" l="0" r="0" t="0"/>
                    <a:stretch>
                      <a:fillRect/>
                    </a:stretch>
                  </pic:blipFill>
                  <pic:spPr>
                    <a:xfrm>
                      <a:off x="0" y="0"/>
                      <a:ext cx="111800" cy="2310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volatility parameter (dynamically updated by the EGARCH model).</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325755" cy="240438"/>
            <wp:effectExtent b="0" l="0" r="0" t="0"/>
            <wp:docPr id="29" name="image25.png"/>
            <a:graphic>
              <a:graphicData uri="http://schemas.openxmlformats.org/drawingml/2006/picture">
                <pic:pic>
                  <pic:nvPicPr>
                    <pic:cNvPr id="0" name="image25.png"/>
                    <pic:cNvPicPr preferRelativeResize="0"/>
                  </pic:nvPicPr>
                  <pic:blipFill>
                    <a:blip r:embed="rId62"/>
                    <a:srcRect b="0" l="0" r="0" t="0"/>
                    <a:stretch>
                      <a:fillRect/>
                    </a:stretch>
                  </pic:blipFill>
                  <pic:spPr>
                    <a:xfrm>
                      <a:off x="0" y="0"/>
                      <a:ext cx="325755" cy="2404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standard Wiener process.</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254079" cy="238681"/>
            <wp:effectExtent b="0" l="0" r="0" t="0"/>
            <wp:docPr id="31" name="image34.png"/>
            <a:graphic>
              <a:graphicData uri="http://schemas.openxmlformats.org/drawingml/2006/picture">
                <pic:pic>
                  <pic:nvPicPr>
                    <pic:cNvPr id="0" name="image34.png"/>
                    <pic:cNvPicPr preferRelativeResize="0"/>
                  </pic:nvPicPr>
                  <pic:blipFill>
                    <a:blip r:embed="rId63"/>
                    <a:srcRect b="0" l="0" r="0" t="0"/>
                    <a:stretch>
                      <a:fillRect/>
                    </a:stretch>
                  </pic:blipFill>
                  <pic:spPr>
                    <a:xfrm>
                      <a:off x="0" y="0"/>
                      <a:ext cx="254079" cy="238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Poisson jump process capturing sudden regulatory shifts or exogenous climate shocks.</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Monte Carlo engine simulates permutations of the firm's operational output. By crossing the matrix of simulated carbon prices with the matrix of simulated emission deficits, the engine generates a holistic probability distribution of total compliance costs.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This allows the treasury department to execute rigorous balance sheet stress tests, ensuring sufficient capital reserves are maintained to cover 99th-percentile compliance shocks. This capability protects corporate credit ratings and debt covenants, fulfilling the emerging regulatory reporting requirements mandated by frameworks like the Task Force on Climate-related Financial Disclosures (TCFD).</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4: Commercialization and Go-To-Market Strategy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superior quantitative models is futile without an aggressive, highly targeted commercialization strategy. This software is not a basic ESG reporting dashboard; it is an enterprise-grade financial risk engine. The Go-To-Market (GTM) strategy must reflect this sophistication, distancing the product from legacy carbon accounting tools.</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Product Positioning and Competitive Moat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traditional climate tech software market is saturated with "carbon accounting" platforms (e.g., Persefoni, Normative, Plan A) focused primarily on historical Scope 1, 2, and 3 data aggregation for compliance with voluntary reporting frameworks.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These platforms are inherently deterministic and backward-looking; they inform a company of what it emitted last year.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This quantitative engine must be positioned radically differently: </w:t>
      </w:r>
      <w:r w:rsidDel="00000000" w:rsidR="00000000" w:rsidRPr="00000000">
        <w:rPr>
          <w:rFonts w:ascii="Google Sans" w:cs="Google Sans" w:eastAsia="Google Sans" w:hAnsi="Google Sans"/>
          <w:b w:val="1"/>
          <w:bCs w:val="1"/>
          <w:color w:val="1f1f1f"/>
          <w:rtl w:val="0"/>
        </w:rPr>
        <w:t xml:space="preserve">as a proactive financial shield and profit optimization center for the C-Suite.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target audience shifts from the Chief Sustainability Officer (CSO) to the Chief Financial Officer (CFO), the Head of Corporate Treasury, and the Chief Risk Officer. The sales narrative pivots from "environmental compliance" to "EBITDA protection" and "capital efficiency".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By demonstrating that non-compliance with the CCTS triggers a punitive fine, and that carbon premium shocks severely erode corporate profitability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software becomes a mission-critical financial instrument.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competitive moat is derived from structural barriers to entry:</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Algorithmic Superiority:</w:t>
      </w:r>
      <w:r w:rsidDel="00000000" w:rsidR="00000000" w:rsidRPr="00000000">
        <w:rPr>
          <w:rFonts w:ascii="Google Sans" w:cs="Google Sans" w:eastAsia="Google Sans" w:hAnsi="Google Sans"/>
          <w:color w:val="1f1f1f"/>
          <w:rtl w:val="0"/>
        </w:rPr>
        <w:t xml:space="preserve"> While competitors rely on simple linear regression to project emissions, the integration of fractional ARIMAX and asymmetric GARCH-LSTM models creates a predictive fidelity that standard SaaS developers cannot replicate.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underlying mathematics of conditional heteroskedasticity and Expected Shortfall constitute a massive technical barrier.</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Regulatory Embedding:</w:t>
      </w:r>
      <w:r w:rsidDel="00000000" w:rsidR="00000000" w:rsidRPr="00000000">
        <w:rPr>
          <w:rFonts w:ascii="Google Sans" w:cs="Google Sans" w:eastAsia="Google Sans" w:hAnsi="Google Sans"/>
          <w:color w:val="1f1f1f"/>
          <w:rtl w:val="0"/>
        </w:rPr>
        <w:t xml:space="preserve"> By hard-coding the highly specific, localized mandates of the CERC pricing corridors and the BEE’s staggered GEI target trajectories directly into the logic, the engine becomes an indispensable, localized asset.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Generic global carbon tools fail to capture the idiosyncrasies of India's gate-to-gate boundaries and penalty structures.</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Institutional Stickiness:</w:t>
      </w:r>
      <w:r w:rsidDel="00000000" w:rsidR="00000000" w:rsidRPr="00000000">
        <w:rPr>
          <w:rFonts w:ascii="Google Sans" w:cs="Google Sans" w:eastAsia="Google Sans" w:hAnsi="Google Sans"/>
          <w:color w:val="1f1f1f"/>
          <w:rtl w:val="0"/>
        </w:rPr>
        <w:t xml:space="preserve"> Once the engine is integrated via APIs into a conglomerate's operational technology (CEMS) and financial ERP systems, its outputs become central to the CFO's monthly risk reporting, making the switching costs astronomically high.</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Monetization and Pricing Architecture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Monetizing a highly complex, algorithmic B2B SaaS product requires moving away from basic per-seat pricing, which artificially limits adoption within a firm and fails to capture the immense value generated by the mathematical models.</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Recent 2026 SaaS benchmarks indicate that pure subscription models are giving way to hybrid structures for complex, compute-heavy AI and quantitative tools.</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optimal monetization strategy for this risk engine is a </w:t>
      </w:r>
      <w:r w:rsidDel="00000000" w:rsidR="00000000" w:rsidRPr="00000000">
        <w:rPr>
          <w:rFonts w:ascii="Google Sans" w:cs="Google Sans" w:eastAsia="Google Sans" w:hAnsi="Google Sans"/>
          <w:b w:val="1"/>
          <w:bCs w:val="1"/>
          <w:color w:val="1f1f1f"/>
          <w:rtl w:val="0"/>
        </w:rPr>
        <w:t xml:space="preserve">Hybrid Consumption-Based Pricing Model</w:t>
      </w:r>
      <w:r w:rsidDel="00000000" w:rsidR="00000000" w:rsidRPr="00000000">
        <w:rPr>
          <w:rFonts w:ascii="Google Sans" w:cs="Google Sans" w:eastAsia="Google Sans" w:hAnsi="Google Sans"/>
          <w:color w:val="1f1f1f"/>
          <w:rtl w:val="0"/>
        </w:rPr>
        <w:t xml:space="preserve">, ensuring steady recurring revenue while capturing unbounded upside.</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pricing architecture consists of two interlocking revenue streams: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Monetization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Pricing 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 Platform Access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Tiered Annual Subscription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Facility Count / Sector Complexity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Secures baseline Annual Recurring Revenue (ARR). Covers CEMS/ERP integration, continuous GEI tracking, and basic compliance reporting generation.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Quantitative Modules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Usage-Based (Pay-as-you-go)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Calls / Compute Hours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Monetizes the heavy computational load of Monte Carlo simulations and GARCH forecasting. Aligns pricing directly with the frequency of treasury risk assessments.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Trading &amp; Arbitrage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Outcome-Based (Percentage)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Capital Hedged / Saved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a fraction of a basis point on the financial exposure hedged or the surplus CCCs successfully monetized on the NSE/IEX. Aligns vendor success with client profitability.</w:t>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Structuring the monetization model to capture both predictable platform fees and scalable usage metrics, reflecting standard practices for enterprise financial APIs.</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establishing a low barrier to entry for the base compliance tracking module, the firm can rapidly capture market share among the 490 obligated entities. As these entities mature and face tightening CCTS targets, their reliance on the advanced stochastic forecasting and Monte Carlo simulations will organically increase. This "land and expand" strategy drives high Net Dollar Retention (NDR) and maximizes the Customer Lifetime Value (LTV), aligning the software's growth trajectory with the inevitable maturation of the Indian Carbon Market.</w:t>
      </w:r>
      <w:r w:rsidDel="00000000" w:rsidR="00000000" w:rsidRPr="00000000">
        <w:rPr>
          <w:rFonts w:ascii="Google Sans" w:cs="Google Sans" w:eastAsia="Google Sans" w:hAnsi="Google Sans"/>
          <w:color w:val="444746"/>
          <w:sz w:val="24"/>
          <w:szCs w:val="24"/>
          <w:vertAlign w:val="superscript"/>
          <w:rtl w:val="0"/>
        </w:rPr>
        <w:t xml:space="preserve">80</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rollout of the Indian Carbon Credit Trading Scheme mandates a profound financialization of industrial emissions. For the initial 490 entities subjected to compliance—and the thousands more that will inevitably follow as the scheme encompasses MSMEs and broader energy segments—carbon is transitioning from an ecological metric to an aggressive financial risk factor characterized by regulatory uncertainty, price volatility, and massive penalty exposures.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outlined in this dossier presents a comprehensive blueprint for an enterprise risk and pricing engine that directly addresses this paradigm shift. By marrying strict regulatory parameters (CERC price bands, BEE gate-to-gate boundaries) with advanced stochastic mathematics (ARIMAX-GARCH volatility modeling and CVaR tail-risk quantification), and delivering it through a scalable, hybrid SaaS monetization framework, this platform transcends traditional deterministic carbon accounting. It establishes an unbreachable mathematical moat, transforming climate compliance into a strategic, data-driven financial advantage, and positioning itself as the indispensable operating system for corporate survival in India's low-carbon economy.</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adopts regulations for planned compliance carbon market, accessed on April 23, 2026, </w:t>
      </w:r>
      <w:hyperlink r:id="rId64">
        <w:r w:rsidDel="00000000" w:rsidR="00000000" w:rsidRPr="00000000">
          <w:rPr>
            <w:rFonts w:ascii="Google Sans" w:cs="Google Sans" w:eastAsia="Google Sans" w:hAnsi="Google Sans"/>
            <w:color w:val="0000ee"/>
            <w:sz w:val="24"/>
            <w:szCs w:val="24"/>
            <w:u w:val="single"/>
            <w:rtl w:val="0"/>
          </w:rPr>
          <w:t xml:space="preserve">https://icapcarbonaction.com/en/news/india-adopts-regulations-planned-compliance-carbon-market</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Market Draft Rules: India's Compliance Era Begins - REConnect Energy, accessed on April 23, 2026, </w:t>
      </w:r>
      <w:hyperlink r:id="rId65">
        <w:r w:rsidDel="00000000" w:rsidR="00000000" w:rsidRPr="00000000">
          <w:rPr>
            <w:rFonts w:ascii="Google Sans" w:cs="Google Sans" w:eastAsia="Google Sans" w:hAnsi="Google Sans"/>
            <w:color w:val="0000ee"/>
            <w:sz w:val="24"/>
            <w:szCs w:val="24"/>
            <w:u w:val="single"/>
            <w:rtl w:val="0"/>
          </w:rPr>
          <w:t xml:space="preserve">https://www.reconnectenergy.com/carbon-market-draft-rules-indias-compliance-era-begins/</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Credits, Climate Policy and the Future of Textile Manufacturing with SED's MVR Based LTE® Technology, accessed on April 23, 2026, </w:t>
      </w:r>
      <w:hyperlink r:id="rId66">
        <w:r w:rsidDel="00000000" w:rsidR="00000000" w:rsidRPr="00000000">
          <w:rPr>
            <w:rFonts w:ascii="Google Sans" w:cs="Google Sans" w:eastAsia="Google Sans" w:hAnsi="Google Sans"/>
            <w:color w:val="0000ee"/>
            <w:sz w:val="24"/>
            <w:szCs w:val="24"/>
            <w:u w:val="single"/>
            <w:rtl w:val="0"/>
          </w:rPr>
          <w:t xml:space="preserve">https://www.indiantextilemagazine.in/carbon-credits-climate-policy-and-the-future-of-textile-manufacturing-with-seds-mvr-based-lte-technology/</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the Energy System of a Facility with Uncertainty about Future Internal Carbon Prices and Energy Carrier Costs Using Deterministic Optimisation and Two-Stage Stochastic Programming - MDPI, accessed on April 23, 2026, </w:t>
      </w:r>
      <w:hyperlink r:id="rId67">
        <w:r w:rsidDel="00000000" w:rsidR="00000000" w:rsidRPr="00000000">
          <w:rPr>
            <w:rFonts w:ascii="Google Sans" w:cs="Google Sans" w:eastAsia="Google Sans" w:hAnsi="Google Sans"/>
            <w:color w:val="0000ee"/>
            <w:sz w:val="24"/>
            <w:szCs w:val="24"/>
            <w:u w:val="single"/>
            <w:rtl w:val="0"/>
          </w:rPr>
          <w:t xml:space="preserve">https://www.mdpi.com/1996-1073/15/10/3836</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GOVERNMENT OF INDIA MINISTRY OF ENVIRONMENT, FOREST AND CLIMATE CHANGE RAJYA SABHA STARRED QUESTION NO. 142 TO BE ANSWERED ON 12, accessed on April 23, 2026, </w:t>
      </w:r>
      <w:hyperlink r:id="rId68">
        <w:r w:rsidDel="00000000" w:rsidR="00000000" w:rsidRPr="00000000">
          <w:rPr>
            <w:rFonts w:ascii="Google Sans" w:cs="Google Sans" w:eastAsia="Google Sans" w:hAnsi="Google Sans"/>
            <w:color w:val="0000ee"/>
            <w:sz w:val="24"/>
            <w:szCs w:val="24"/>
            <w:u w:val="single"/>
            <w:rtl w:val="0"/>
          </w:rPr>
          <w:t xml:space="preserve">https://sansad.in/getFile/annex/270/AS142_gMIudA.pdf?source=pqars</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Carbon Credit Trading Scheme - International Carbon Action Partnership (ICAP), accessed on April 23, 2026, </w:t>
      </w:r>
      <w:hyperlink r:id="rId69">
        <w:r w:rsidDel="00000000" w:rsidR="00000000" w:rsidRPr="00000000">
          <w:rPr>
            <w:rFonts w:ascii="Google Sans" w:cs="Google Sans" w:eastAsia="Google Sans" w:hAnsi="Google Sans"/>
            <w:color w:val="0000ee"/>
            <w:sz w:val="24"/>
            <w:szCs w:val="24"/>
            <w:u w:val="single"/>
            <w:rtl w:val="0"/>
          </w:rPr>
          <w:t xml:space="preserve">https://icapcarbonaction.com/en/ets/indian-carbon-credit-trading-scheme</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Government notifies Greenhouse Gas Emission Intensity Targets for 208 more Carbon-intensive Industries - PIB, accessed on April 23, 2026, </w:t>
      </w:r>
      <w:hyperlink r:id="rId70">
        <w:r w:rsidDel="00000000" w:rsidR="00000000" w:rsidRPr="00000000">
          <w:rPr>
            <w:rFonts w:ascii="Google Sans" w:cs="Google Sans" w:eastAsia="Google Sans" w:hAnsi="Google Sans"/>
            <w:color w:val="0000ee"/>
            <w:sz w:val="24"/>
            <w:szCs w:val="24"/>
            <w:u w:val="single"/>
            <w:rtl w:val="0"/>
          </w:rPr>
          <w:t xml:space="preserve">https://www.pib.gov.in/PressReleasePage.aspx?PRID=2217239®=3&amp;lang=1</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Compliance obligations under India's Carbon Credit Trading Scheme enter into force for seven sectors, accessed on April 23, 2026, </w:t>
      </w:r>
      <w:hyperlink r:id="rId71">
        <w:r w:rsidDel="00000000" w:rsidR="00000000" w:rsidRPr="00000000">
          <w:rPr>
            <w:rFonts w:ascii="Google Sans" w:cs="Google Sans" w:eastAsia="Google Sans" w:hAnsi="Google Sans"/>
            <w:color w:val="0000ee"/>
            <w:sz w:val="24"/>
            <w:szCs w:val="24"/>
            <w:u w:val="single"/>
            <w:rtl w:val="0"/>
          </w:rPr>
          <w:t xml:space="preserve">https://icapcarbonaction.com/en/news/compliance-obligations-under-indias-carbon-credit-trading-scheme-enter-force-seven-sectors</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Hit India's 2025 GEI Targets - CarbonMinus, accessed on April 23, 2026, </w:t>
      </w:r>
      <w:hyperlink r:id="rId72">
        <w:r w:rsidDel="00000000" w:rsidR="00000000" w:rsidRPr="00000000">
          <w:rPr>
            <w:rFonts w:ascii="Google Sans" w:cs="Google Sans" w:eastAsia="Google Sans" w:hAnsi="Google Sans"/>
            <w:color w:val="0000ee"/>
            <w:sz w:val="24"/>
            <w:szCs w:val="24"/>
            <w:u w:val="single"/>
            <w:rtl w:val="0"/>
          </w:rPr>
          <w:t xml:space="preserve">https://carbonminus.com/how-to-hit-indias-2025-gei-targets/</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Sectors Under Carbon Credit Trading Scheme Explained - Sentra World, accessed on April 23, 2026, </w:t>
      </w:r>
      <w:hyperlink r:id="rId73">
        <w:r w:rsidDel="00000000" w:rsidR="00000000" w:rsidRPr="00000000">
          <w:rPr>
            <w:rFonts w:ascii="Google Sans" w:cs="Google Sans" w:eastAsia="Google Sans" w:hAnsi="Google Sans"/>
            <w:color w:val="0000ee"/>
            <w:sz w:val="24"/>
            <w:szCs w:val="24"/>
            <w:u w:val="single"/>
            <w:rtl w:val="0"/>
          </w:rPr>
          <w:t xml:space="preserve">https://sentra.world/blogs/ccts/sectors-under-carbon-credit-trading-scheme/</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Greenhouse Gas Emission Intensity Targets Across Identified Sectors Under the CCTS Framework - Grow-Trees.com, accessed on April 23, 2026, </w:t>
      </w:r>
      <w:hyperlink r:id="rId74">
        <w:r w:rsidDel="00000000" w:rsidR="00000000" w:rsidRPr="00000000">
          <w:rPr>
            <w:rFonts w:ascii="Google Sans" w:cs="Google Sans" w:eastAsia="Google Sans" w:hAnsi="Google Sans"/>
            <w:color w:val="0000ee"/>
            <w:sz w:val="24"/>
            <w:szCs w:val="24"/>
            <w:u w:val="single"/>
            <w:rtl w:val="0"/>
          </w:rPr>
          <w:t xml:space="preserve">https://www.grow-trees.com/blog-individual/1182/decoding-greenhouse-gas-emission-intensity-targets-across-identified-sectors-under-the-ccts-framework</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India's final emission reduction targets can shape carbon market dynamics - CEEW, accessed on April 23, 2026, </w:t>
      </w:r>
      <w:hyperlink r:id="rId75">
        <w:r w:rsidDel="00000000" w:rsidR="00000000" w:rsidRPr="00000000">
          <w:rPr>
            <w:rFonts w:ascii="Google Sans" w:cs="Google Sans" w:eastAsia="Google Sans" w:hAnsi="Google Sans"/>
            <w:color w:val="0000ee"/>
            <w:sz w:val="24"/>
            <w:szCs w:val="24"/>
            <w:u w:val="single"/>
            <w:rtl w:val="0"/>
          </w:rPr>
          <w:t xml:space="preserve">https://www.ceew.in/blogs/how-india%E2%80%99s-final-emission-reduction-targets-can-shape-carbon-market-dynamics</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Credit Trading Scheme (CCTS) Calculation in India - Sentra World, accessed on April 23, 2026, </w:t>
      </w:r>
      <w:hyperlink r:id="rId76">
        <w:r w:rsidDel="00000000" w:rsidR="00000000" w:rsidRPr="00000000">
          <w:rPr>
            <w:rFonts w:ascii="Google Sans" w:cs="Google Sans" w:eastAsia="Google Sans" w:hAnsi="Google Sans"/>
            <w:color w:val="0000ee"/>
            <w:sz w:val="24"/>
            <w:szCs w:val="24"/>
            <w:u w:val="single"/>
            <w:rtl w:val="0"/>
          </w:rPr>
          <w:t xml:space="preserve">https://sentra.world/blogs/ccts/carbon-credit-trading-scheme-calculation/</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Indian Carbon Credit Trading Scheme (CCTS ... - icmai sao, accessed on April 23, 2026, </w:t>
      </w:r>
      <w:hyperlink r:id="rId77">
        <w:r w:rsidDel="00000000" w:rsidR="00000000" w:rsidRPr="00000000">
          <w:rPr>
            <w:rFonts w:ascii="Google Sans" w:cs="Google Sans" w:eastAsia="Google Sans" w:hAnsi="Google Sans"/>
            <w:color w:val="0000ee"/>
            <w:sz w:val="24"/>
            <w:szCs w:val="24"/>
            <w:u w:val="single"/>
            <w:rtl w:val="0"/>
          </w:rPr>
          <w:t xml:space="preserve">https://www.saoicmai.in/E-LibraryBooks/CCTS639063219326087168.pdf</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Continuous Emissions Monitoring Systems (CEMS) in India, accessed on April 23, 2026, </w:t>
      </w:r>
      <w:hyperlink r:id="rId78">
        <w:r w:rsidDel="00000000" w:rsidR="00000000" w:rsidRPr="00000000">
          <w:rPr>
            <w:rFonts w:ascii="Google Sans" w:cs="Google Sans" w:eastAsia="Google Sans" w:hAnsi="Google Sans"/>
            <w:color w:val="0000ee"/>
            <w:sz w:val="24"/>
            <w:szCs w:val="24"/>
            <w:u w:val="single"/>
            <w:rtl w:val="0"/>
          </w:rPr>
          <w:t xml:space="preserve">https://developmentevidence.3ieimpact.org/search-result-details/impact-evaluation-repository/continuous-emissions-monitoring-systems-cems-in-india/8964</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Accounting API | GHG Protocol API for Developers - ZeroCarbon, accessed on April 23, 2026, </w:t>
      </w:r>
      <w:hyperlink r:id="rId79">
        <w:r w:rsidDel="00000000" w:rsidR="00000000" w:rsidRPr="00000000">
          <w:rPr>
            <w:rFonts w:ascii="Google Sans" w:cs="Google Sans" w:eastAsia="Google Sans" w:hAnsi="Google Sans"/>
            <w:color w:val="0000ee"/>
            <w:sz w:val="24"/>
            <w:szCs w:val="24"/>
            <w:u w:val="single"/>
            <w:rtl w:val="0"/>
          </w:rPr>
          <w:t xml:space="preserve">https://zerocarbon.org.in/carbon-accounting-api</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Carbon Credit Trading Scheme: Compliance Guide - Lawrbit, accessed on April 23, 2026, </w:t>
      </w:r>
      <w:hyperlink r:id="rId80">
        <w:r w:rsidDel="00000000" w:rsidR="00000000" w:rsidRPr="00000000">
          <w:rPr>
            <w:rFonts w:ascii="Google Sans" w:cs="Google Sans" w:eastAsia="Google Sans" w:hAnsi="Google Sans"/>
            <w:color w:val="0000ee"/>
            <w:sz w:val="24"/>
            <w:szCs w:val="24"/>
            <w:u w:val="single"/>
            <w:rtl w:val="0"/>
          </w:rPr>
          <w:t xml:space="preserve">https://www.lawrbit.com/article/india-carbon-credit-trading-scheme-compliance/</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Accounting Software Comparison 2026 - Greenio, accessed on April 23, 2026, </w:t>
      </w:r>
      <w:hyperlink r:id="rId81">
        <w:r w:rsidDel="00000000" w:rsidR="00000000" w:rsidRPr="00000000">
          <w:rPr>
            <w:rFonts w:ascii="Google Sans" w:cs="Google Sans" w:eastAsia="Google Sans" w:hAnsi="Google Sans"/>
            <w:color w:val="0000ee"/>
            <w:sz w:val="24"/>
            <w:szCs w:val="24"/>
            <w:u w:val="single"/>
            <w:rtl w:val="0"/>
          </w:rPr>
          <w:t xml:space="preserve">https://greenio.co/blog/carbon-accounting-software-comparison-2026</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Carbon Credit Offset Mechanism - Envint, accessed on April 23, 2026, </w:t>
      </w:r>
      <w:hyperlink r:id="rId82">
        <w:r w:rsidDel="00000000" w:rsidR="00000000" w:rsidRPr="00000000">
          <w:rPr>
            <w:rFonts w:ascii="Google Sans" w:cs="Google Sans" w:eastAsia="Google Sans" w:hAnsi="Google Sans"/>
            <w:color w:val="0000ee"/>
            <w:sz w:val="24"/>
            <w:szCs w:val="24"/>
            <w:u w:val="single"/>
            <w:rtl w:val="0"/>
          </w:rPr>
          <w:t xml:space="preserve">https://envintglobal.com/indias-carbon-credit-offset-mechanism-bees-new-guidelines-for-a-credible-carbon-market/</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Indian Carbon Market Framework: Registration &amp; Compliance Documentation Guide, accessed on April 23, 2026, </w:t>
      </w:r>
      <w:hyperlink r:id="rId83">
        <w:r w:rsidDel="00000000" w:rsidR="00000000" w:rsidRPr="00000000">
          <w:rPr>
            <w:rFonts w:ascii="Google Sans" w:cs="Google Sans" w:eastAsia="Google Sans" w:hAnsi="Google Sans"/>
            <w:color w:val="0000ee"/>
            <w:sz w:val="24"/>
            <w:szCs w:val="24"/>
            <w:u w:val="single"/>
            <w:rtl w:val="0"/>
          </w:rPr>
          <w:t xml:space="preserve">https://bilancia-group.com/the-indian-carbon-market-framework-registration-compliance-documentation-guide/</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Sentra.World Company Operate? - Business Model Canvas Templates, accessed on April 23, 2026, </w:t>
      </w:r>
      <w:hyperlink r:id="rId84">
        <w:r w:rsidDel="00000000" w:rsidR="00000000" w:rsidRPr="00000000">
          <w:rPr>
            <w:rFonts w:ascii="Google Sans" w:cs="Google Sans" w:eastAsia="Google Sans" w:hAnsi="Google Sans"/>
            <w:color w:val="0000ee"/>
            <w:sz w:val="24"/>
            <w:szCs w:val="24"/>
            <w:u w:val="single"/>
            <w:rtl w:val="0"/>
          </w:rPr>
          <w:t xml:space="preserve">https://businessmodelcanvastemplate.com/blogs/how-it-works/sentra-world-how-it-works</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more industries face emissions reduction targets - Mongabay-India, accessed on April 23, 2026, </w:t>
      </w:r>
      <w:hyperlink r:id="rId85">
        <w:r w:rsidDel="00000000" w:rsidR="00000000" w:rsidRPr="00000000">
          <w:rPr>
            <w:rFonts w:ascii="Google Sans" w:cs="Google Sans" w:eastAsia="Google Sans" w:hAnsi="Google Sans"/>
            <w:color w:val="0000ee"/>
            <w:sz w:val="24"/>
            <w:szCs w:val="24"/>
            <w:u w:val="single"/>
            <w:rtl w:val="0"/>
          </w:rPr>
          <w:t xml:space="preserve">https://india.mongabay.com/short-article/2026/01/four-more-industries-face-emissions-reduction-targets/</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Opens Carbon Market Portal To Kick-Start Emissions Trading System, accessed on April 23, 2026, </w:t>
      </w:r>
      <w:hyperlink r:id="rId86">
        <w:r w:rsidDel="00000000" w:rsidR="00000000" w:rsidRPr="00000000">
          <w:rPr>
            <w:rFonts w:ascii="Google Sans" w:cs="Google Sans" w:eastAsia="Google Sans" w:hAnsi="Google Sans"/>
            <w:color w:val="0000ee"/>
            <w:sz w:val="24"/>
            <w:szCs w:val="24"/>
            <w:u w:val="single"/>
            <w:rtl w:val="0"/>
          </w:rPr>
          <w:t xml:space="preserve">https://carbonherald.com/india-opens-carbon-market-portal-to-kick-start-emissions-trading-system/</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Indian Legislative Journey The CCC Regulations: India's First of Their Kind - Khaitan &amp; Co, accessed on April 23, 2026, </w:t>
      </w:r>
      <w:hyperlink r:id="rId87">
        <w:r w:rsidDel="00000000" w:rsidR="00000000" w:rsidRPr="00000000">
          <w:rPr>
            <w:rFonts w:ascii="Google Sans" w:cs="Google Sans" w:eastAsia="Google Sans" w:hAnsi="Google Sans"/>
            <w:color w:val="0000ee"/>
            <w:sz w:val="24"/>
            <w:szCs w:val="24"/>
            <w:u w:val="single"/>
            <w:rtl w:val="0"/>
          </w:rPr>
          <w:t xml:space="preserve">https://www.khaitanco.com/sites/default/files/2026-03/ERGO_Carbon%20Credit%20Enter%20the%20Market_20%20March%202026.pdf</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notifies emission intensity targets for nine sectors under Carbon Credit Trading Scheme, accessed on April 23, 2026, </w:t>
      </w:r>
      <w:hyperlink r:id="rId88">
        <w:r w:rsidDel="00000000" w:rsidR="00000000" w:rsidRPr="00000000">
          <w:rPr>
            <w:rFonts w:ascii="Google Sans" w:cs="Google Sans" w:eastAsia="Google Sans" w:hAnsi="Google Sans"/>
            <w:color w:val="0000ee"/>
            <w:sz w:val="24"/>
            <w:szCs w:val="24"/>
            <w:u w:val="single"/>
            <w:rtl w:val="0"/>
          </w:rPr>
          <w:t xml:space="preserve">https://icapcarbonaction.com/en/news/india-notifies-emission-intensity-targets-nine-sectors-under-carbon-credit-trading-scheme</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CENTRAL ELECTRICITY REGULATORY COMMISSION NEW DELHI DRAFT NOTIFICATION New Delhi No RA-14026(13)/1/2024-CERC. In exercise of pow - Prayas (Energy Group), accessed on April 23, 2026, </w:t>
      </w:r>
      <w:hyperlink r:id="rId89">
        <w:r w:rsidDel="00000000" w:rsidR="00000000" w:rsidRPr="00000000">
          <w:rPr>
            <w:rFonts w:ascii="Google Sans" w:cs="Google Sans" w:eastAsia="Google Sans" w:hAnsi="Google Sans"/>
            <w:color w:val="0000ee"/>
            <w:sz w:val="24"/>
            <w:szCs w:val="24"/>
            <w:u w:val="single"/>
            <w:rtl w:val="0"/>
          </w:rPr>
          <w:t xml:space="preserve">https://energy.prayaspune.org/images/pdf/CERC-PoCCC-draft-regs-2024.pdf</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CERC Notifies 2026 Regulations To Formalize India's Carbon Credit Trading Market, accessed on April 23, 2026, </w:t>
      </w:r>
      <w:hyperlink r:id="rId90">
        <w:r w:rsidDel="00000000" w:rsidR="00000000" w:rsidRPr="00000000">
          <w:rPr>
            <w:rFonts w:ascii="Google Sans" w:cs="Google Sans" w:eastAsia="Google Sans" w:hAnsi="Google Sans"/>
            <w:color w:val="0000ee"/>
            <w:sz w:val="24"/>
            <w:szCs w:val="24"/>
            <w:u w:val="single"/>
            <w:rtl w:val="0"/>
          </w:rPr>
          <w:t xml:space="preserve">https://solarquarter.com/2026/03/03/cerc-notifies-2026-regulations-to-formalize-indias-carbon-credit-trading-market/</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Strengthening India's carbon market: The case for a stability mechanism in India's CCTS, accessed on April 23, 2026, </w:t>
      </w:r>
      <w:hyperlink r:id="rId91">
        <w:r w:rsidDel="00000000" w:rsidR="00000000" w:rsidRPr="00000000">
          <w:rPr>
            <w:rFonts w:ascii="Google Sans" w:cs="Google Sans" w:eastAsia="Google Sans" w:hAnsi="Google Sans"/>
            <w:color w:val="0000ee"/>
            <w:sz w:val="24"/>
            <w:szCs w:val="24"/>
            <w:u w:val="single"/>
            <w:rtl w:val="0"/>
          </w:rPr>
          <w:t xml:space="preserve">https://ieefa.org/resources/strengthening-indias-carbon-market-case-stability-mechanism-indias-ccts</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CERC Issues Rules to Operationalize Carbon Credit Trading on ..., accessed on April 23, 2026, </w:t>
      </w:r>
      <w:hyperlink r:id="rId92">
        <w:r w:rsidDel="00000000" w:rsidR="00000000" w:rsidRPr="00000000">
          <w:rPr>
            <w:rFonts w:ascii="Google Sans" w:cs="Google Sans" w:eastAsia="Google Sans" w:hAnsi="Google Sans"/>
            <w:color w:val="0000ee"/>
            <w:sz w:val="24"/>
            <w:szCs w:val="24"/>
            <w:u w:val="single"/>
            <w:rtl w:val="0"/>
          </w:rPr>
          <w:t xml:space="preserve">https://mercomindia.com/cerc-issues-rules-to-operationalize-carbon-credit-trading-on-power-exchanges</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Exchange Technology Platform - IEX | Indian Energy Exchange, accessed on April 23, 2026, </w:t>
      </w:r>
      <w:hyperlink r:id="rId93">
        <w:r w:rsidDel="00000000" w:rsidR="00000000" w:rsidRPr="00000000">
          <w:rPr>
            <w:rFonts w:ascii="Google Sans" w:cs="Google Sans" w:eastAsia="Google Sans" w:hAnsi="Google Sans"/>
            <w:color w:val="0000ee"/>
            <w:sz w:val="24"/>
            <w:szCs w:val="24"/>
            <w:u w:val="single"/>
            <w:rtl w:val="0"/>
          </w:rPr>
          <w:t xml:space="preserve">https://www.iexindia.com/technology/exchange-trading</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Contract Specifications - Energy Futures - NSE - National Stock Exchange of India Ltd., accessed on April 23, 2026, </w:t>
      </w:r>
      <w:hyperlink r:id="rId94">
        <w:r w:rsidDel="00000000" w:rsidR="00000000" w:rsidRPr="00000000">
          <w:rPr>
            <w:rFonts w:ascii="Google Sans" w:cs="Google Sans" w:eastAsia="Google Sans" w:hAnsi="Google Sans"/>
            <w:color w:val="0000ee"/>
            <w:sz w:val="24"/>
            <w:szCs w:val="24"/>
            <w:u w:val="single"/>
            <w:rtl w:val="0"/>
          </w:rPr>
          <w:t xml:space="preserve">https://www.nseindia.com/static/products-services/commodity-derivatives-contract-specification-energy</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on Carbon Futures Forecast and Related Asset Impact Analysis Based on ARIMA-GARCH and RBF Contribution Analysis - SciTePress, accessed on April 23, 2026, </w:t>
      </w:r>
      <w:hyperlink r:id="rId95">
        <w:r w:rsidDel="00000000" w:rsidR="00000000" w:rsidRPr="00000000">
          <w:rPr>
            <w:rFonts w:ascii="Google Sans" w:cs="Google Sans" w:eastAsia="Google Sans" w:hAnsi="Google Sans"/>
            <w:color w:val="0000ee"/>
            <w:sz w:val="24"/>
            <w:szCs w:val="24"/>
            <w:u w:val="single"/>
            <w:rtl w:val="0"/>
          </w:rPr>
          <w:t xml:space="preserve">https://www.scitepress.org/Papers/2022/117576/117576.pdf</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Forecasting Carbon Dioxide Price Using a Time-Varying High-Order Moment Hybrid Model of NAGARCHSK and Gated Recurrent Unit Network - MDPI, accessed on April 23, 2026, </w:t>
      </w:r>
      <w:hyperlink r:id="rId96">
        <w:r w:rsidDel="00000000" w:rsidR="00000000" w:rsidRPr="00000000">
          <w:rPr>
            <w:rFonts w:ascii="Google Sans" w:cs="Google Sans" w:eastAsia="Google Sans" w:hAnsi="Google Sans"/>
            <w:color w:val="0000ee"/>
            <w:sz w:val="24"/>
            <w:szCs w:val="24"/>
            <w:u w:val="single"/>
            <w:rtl w:val="0"/>
          </w:rPr>
          <w:t xml:space="preserve">https://www.mdpi.com/1660-4601/19/2/899</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Forecasting Carbon Dioxide Price Using a Time-Varying High-Order Moment Hybrid Model of NAGARCHSK and Gated Recurrent Unit Network - PMC, accessed on April 23, 2026, </w:t>
      </w:r>
      <w:hyperlink r:id="rId97">
        <w:r w:rsidDel="00000000" w:rsidR="00000000" w:rsidRPr="00000000">
          <w:rPr>
            <w:rFonts w:ascii="Google Sans" w:cs="Google Sans" w:eastAsia="Google Sans" w:hAnsi="Google Sans"/>
            <w:color w:val="0000ee"/>
            <w:sz w:val="24"/>
            <w:szCs w:val="24"/>
            <w:u w:val="single"/>
            <w:rtl w:val="0"/>
          </w:rPr>
          <w:t xml:space="preserve">https://pmc.ncbi.nlm.nih.gov/articles/PMC8775960/</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Predictive Framework for Carbon Credit Volatility and Its Impact on Green Cash Flow Forecasting - ResearchGate, accessed on April 23, 2026, </w:t>
      </w:r>
      <w:hyperlink r:id="rId98">
        <w:r w:rsidDel="00000000" w:rsidR="00000000" w:rsidRPr="00000000">
          <w:rPr>
            <w:rFonts w:ascii="Google Sans" w:cs="Google Sans" w:eastAsia="Google Sans" w:hAnsi="Google Sans"/>
            <w:color w:val="0000ee"/>
            <w:sz w:val="24"/>
            <w:szCs w:val="24"/>
            <w:u w:val="single"/>
            <w:rtl w:val="0"/>
          </w:rPr>
          <w:t xml:space="preserve">https://www.researchgate.net/publication/403745713_A_Predictive_Framework_for_Carbon_Credit_Volatility_and_Its_Impact_on_Green_Cash_Flow_Forecasting</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China's carbon market price fluctuation and international carbon credit financing mechanism using random forest model - IDEAS/RePEc, accessed on April 23, 2026, </w:t>
      </w:r>
      <w:hyperlink r:id="rId99">
        <w:r w:rsidDel="00000000" w:rsidR="00000000" w:rsidRPr="00000000">
          <w:rPr>
            <w:rFonts w:ascii="Google Sans" w:cs="Google Sans" w:eastAsia="Google Sans" w:hAnsi="Google Sans"/>
            <w:color w:val="0000ee"/>
            <w:sz w:val="24"/>
            <w:szCs w:val="24"/>
            <w:u w:val="single"/>
            <w:rtl w:val="0"/>
          </w:rPr>
          <w:t xml:space="preserve">https://ideas.repec.org/a/plo/pone00/0294269.html</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Fluctuations and Forecasting of Carbon Price Based on A Hybrid Ensemble Learning GARCH-LSTM-Based Approach: A Case of Five Carbon Trading Markets in China - MDPI, accessed on April 23, 2026, </w:t>
      </w:r>
      <w:hyperlink r:id="rId100">
        <w:r w:rsidDel="00000000" w:rsidR="00000000" w:rsidRPr="00000000">
          <w:rPr>
            <w:rFonts w:ascii="Google Sans" w:cs="Google Sans" w:eastAsia="Google Sans" w:hAnsi="Google Sans"/>
            <w:color w:val="0000ee"/>
            <w:sz w:val="24"/>
            <w:szCs w:val="24"/>
            <w:u w:val="single"/>
            <w:rtl w:val="0"/>
          </w:rPr>
          <w:t xml:space="preserve">https://www.mdpi.com/2071-1050/16/4/1588</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China's carbon market price fluctuation and international carbon credit financing mechanism using random forest model | PLOS One, accessed on April 23, 2026, </w:t>
      </w:r>
      <w:hyperlink r:id="rId101">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https://journals.plos.org/plosone/article?id=10.1371/journal.pone.0294269</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[2009.10764] CoVaR with volatility clustering, heavy tails and non-linear dependence - arXiv, accessed on April 23, 2026, </w:t>
      </w:r>
      <w:hyperlink r:id="rId102">
        <w:r w:rsidDel="00000000" w:rsidR="00000000" w:rsidRPr="00000000">
          <w:rPr>
            <w:rFonts w:ascii="Google Sans" w:cs="Google Sans" w:eastAsia="Google Sans" w:hAnsi="Google Sans"/>
            <w:color w:val="0000ee"/>
            <w:sz w:val="24"/>
            <w:szCs w:val="24"/>
            <w:u w:val="single"/>
            <w:rtl w:val="0"/>
          </w:rPr>
          <w:t xml:space="preserve">https://arxiv.org/abs/2009.10764</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ARIMA-GARCH and ARIMA-EGARCH-t Models in Fitting and Forecasting Volatility of the Shanghai Composite Index | Exploring Science Academic Conference Series - Zeus Press, accessed on April 23, 2026, </w:t>
      </w:r>
      <w:hyperlink r:id="rId103">
        <w:r w:rsidDel="00000000" w:rsidR="00000000" w:rsidRPr="00000000">
          <w:rPr>
            <w:rFonts w:ascii="Google Sans" w:cs="Google Sans" w:eastAsia="Google Sans" w:hAnsi="Google Sans"/>
            <w:color w:val="0000ee"/>
            <w:sz w:val="24"/>
            <w:szCs w:val="24"/>
            <w:u w:val="single"/>
            <w:rtl w:val="0"/>
          </w:rPr>
          <w:t xml:space="preserve">https://journals.zeuspress.org/index.php/conference/article/view/548</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Heavy-Tailed Distribution for ARCH Residuals with Application to Volatility Prediction, accessed on April 23, 2026, </w:t>
      </w:r>
      <w:hyperlink r:id="rId104">
        <w:r w:rsidDel="00000000" w:rsidR="00000000" w:rsidRPr="00000000">
          <w:rPr>
            <w:rFonts w:ascii="Google Sans" w:cs="Google Sans" w:eastAsia="Google Sans" w:hAnsi="Google Sans"/>
            <w:color w:val="0000ee"/>
            <w:sz w:val="24"/>
            <w:szCs w:val="24"/>
            <w:u w:val="single"/>
            <w:rtl w:val="0"/>
          </w:rPr>
          <w:t xml:space="preserve">https://www.researchgate.net/publication/227388141_A_Heavy-Tailed_Distribution_for_ARCH_Residuals_with_Application_to_Volatility_Prediction</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Fat Tails and Volatility clustering relationship - Cross Validated, accessed on April 23, 2026, </w:t>
      </w:r>
      <w:hyperlink r:id="rId105">
        <w:r w:rsidDel="00000000" w:rsidR="00000000" w:rsidRPr="00000000">
          <w:rPr>
            <w:rFonts w:ascii="Google Sans" w:cs="Google Sans" w:eastAsia="Google Sans" w:hAnsi="Google Sans"/>
            <w:color w:val="0000ee"/>
            <w:sz w:val="24"/>
            <w:szCs w:val="24"/>
            <w:u w:val="single"/>
            <w:rtl w:val="0"/>
          </w:rPr>
          <w:t xml:space="preserve">https://stats.stackexchange.com/questions/343466/fat-tails-and-volatility-clustering-relationship</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Strengthening India's carbon market - Environmental Defense Fund, accessed on April 23, 2026, </w:t>
      </w:r>
      <w:hyperlink r:id="rId106">
        <w:r w:rsidDel="00000000" w:rsidR="00000000" w:rsidRPr="00000000">
          <w:rPr>
            <w:rFonts w:ascii="Google Sans" w:cs="Google Sans" w:eastAsia="Google Sans" w:hAnsi="Google Sans"/>
            <w:color w:val="0000ee"/>
            <w:sz w:val="24"/>
            <w:szCs w:val="24"/>
            <w:u w:val="single"/>
            <w:rtl w:val="0"/>
          </w:rPr>
          <w:t xml:space="preserve">https://library.edf.org/AssetLink/6328jfn6lw6t8x7yy6q3wkw07x86n6c2.pdf</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India Decarbonise for Low Carbon Cement Sustainability? - CEEW, accessed on April 23, 2026, </w:t>
      </w:r>
      <w:hyperlink r:id="rId107">
        <w:r w:rsidDel="00000000" w:rsidR="00000000" w:rsidRPr="00000000">
          <w:rPr>
            <w:rFonts w:ascii="Google Sans" w:cs="Google Sans" w:eastAsia="Google Sans" w:hAnsi="Google Sans"/>
            <w:color w:val="0000ee"/>
            <w:sz w:val="24"/>
            <w:szCs w:val="24"/>
            <w:u w:val="single"/>
            <w:rtl w:val="0"/>
          </w:rPr>
          <w:t xml:space="preserve">https://www.ceew.in/publications/how-can-india-decarbonise-for-net-zero-cement-industry</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Decarbonising India - McKinsey, accessed on April 23, 2026, </w:t>
      </w:r>
      <w:hyperlink r:id="rId108">
        <w:r w:rsidDel="00000000" w:rsidR="00000000" w:rsidRPr="00000000">
          <w:rPr>
            <w:rFonts w:ascii="Google Sans" w:cs="Google Sans" w:eastAsia="Google Sans" w:hAnsi="Google Sans"/>
            <w:color w:val="0000ee"/>
            <w:sz w:val="24"/>
            <w:szCs w:val="24"/>
            <w:u w:val="single"/>
            <w:rtl w:val="0"/>
          </w:rPr>
          <w:t xml:space="preserve">https://www.mckinsey.com/~/media/mckinsey/business%20functions/sustainability/our%20insights/decarbonizing%20india%20charting%20a%20pathway%20for%20sustainable%20growth/decarbonising-india-charting-a-pathway-for-sustainable-growth-full-f.pdf</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CCTS to keep near-term costs manageable but raise long-term pressure on cement, aluminium firms: ICRA ESG, accessed on April 23, 2026, </w:t>
      </w:r>
      <w:hyperlink r:id="rId109">
        <w:r w:rsidDel="00000000" w:rsidR="00000000" w:rsidRPr="00000000">
          <w:rPr>
            <w:rFonts w:ascii="Google Sans" w:cs="Google Sans" w:eastAsia="Google Sans" w:hAnsi="Google Sans"/>
            <w:color w:val="0000ee"/>
            <w:sz w:val="24"/>
            <w:szCs w:val="24"/>
            <w:u w:val="single"/>
            <w:rtl w:val="0"/>
          </w:rPr>
          <w:t xml:space="preserve">https://infra.economictimes.indiatimes.com/news/construction/indias-carbon-credit-trading-scheme-managing-costs-and-emission-pressures-for-cement-and-aluminium-industries/130441115</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Cement firms may see up to 19% profit hit under carbon scheme: ICRA, accessed on April 23, 2026, </w:t>
      </w:r>
      <w:hyperlink r:id="rId110">
        <w:r w:rsidDel="00000000" w:rsidR="00000000" w:rsidRPr="00000000">
          <w:rPr>
            <w:rFonts w:ascii="Google Sans" w:cs="Google Sans" w:eastAsia="Google Sans" w:hAnsi="Google Sans"/>
            <w:color w:val="0000ee"/>
            <w:sz w:val="24"/>
            <w:szCs w:val="24"/>
            <w:u w:val="single"/>
            <w:rtl w:val="0"/>
          </w:rPr>
          <w:t xml:space="preserve">https://www.business-standard.com/industry/news/cement-firms-profit-hit-carbon-credit-trading-scheme-icra-126042201388_1.html</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CLIMATE RISK MAINSTREAMING APPROACHES FOR INDIAN FINANCIAL INSTITUTIONS Landscape Study For Investment Portfolios In India, accessed on April 23, 2026, </w:t>
      </w:r>
      <w:hyperlink r:id="rId111">
        <w:r w:rsidDel="00000000" w:rsidR="00000000" w:rsidRPr="00000000">
          <w:rPr>
            <w:rFonts w:ascii="Google Sans" w:cs="Google Sans" w:eastAsia="Google Sans" w:hAnsi="Google Sans"/>
            <w:color w:val="0000ee"/>
            <w:sz w:val="24"/>
            <w:szCs w:val="24"/>
            <w:u w:val="single"/>
            <w:rtl w:val="0"/>
          </w:rPr>
          <w:t xml:space="preserve">https://shaktifoundation.in/wp-content/uploads/2021/12/CLIMATE_RISK_MAINSTREAMING_APPROACHES_FOR_INDIAN_FINANCIAL_INSTITUTIONS.pdf</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BIS Papers - No 130 Pricing of climate risks in financial markets: a summary of the literature - Bank for International Settlements, accessed on April 23, 2026, </w:t>
      </w:r>
      <w:hyperlink r:id="rId112">
        <w:r w:rsidDel="00000000" w:rsidR="00000000" w:rsidRPr="00000000">
          <w:rPr>
            <w:rFonts w:ascii="Google Sans" w:cs="Google Sans" w:eastAsia="Google Sans" w:hAnsi="Google Sans"/>
            <w:color w:val="0000ee"/>
            <w:sz w:val="24"/>
            <w:szCs w:val="24"/>
            <w:u w:val="single"/>
            <w:rtl w:val="0"/>
          </w:rPr>
          <w:t xml:space="preserve">https://www.bis.org/publ/bppdf/bispap130.pdf</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Detailed Procedure for Compliance Mechanism under the Indian Carbon Market, 2023 [draft] - Cer-Centre for Energy Regulation, accessed on April 23, 2026, </w:t>
      </w:r>
      <w:hyperlink r:id="rId113">
        <w:r w:rsidDel="00000000" w:rsidR="00000000" w:rsidRPr="00000000">
          <w:rPr>
            <w:rFonts w:ascii="Google Sans" w:cs="Google Sans" w:eastAsia="Google Sans" w:hAnsi="Google Sans"/>
            <w:color w:val="0000ee"/>
            <w:sz w:val="24"/>
            <w:szCs w:val="24"/>
            <w:u w:val="single"/>
            <w:rtl w:val="0"/>
          </w:rPr>
          <w:t xml:space="preserve">https://cer.iitk.ac.in/odf_assets/upload_files/blog_Draft_Compliance_Procedure_October_2023.pdf</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Systemic Climate Risk, accessed on April 23, 2026, </w:t>
      </w:r>
      <w:hyperlink r:id="rId114">
        <w:r w:rsidDel="00000000" w:rsidR="00000000" w:rsidRPr="00000000">
          <w:rPr>
            <w:rFonts w:ascii="Google Sans" w:cs="Google Sans" w:eastAsia="Google Sans" w:hAnsi="Google Sans"/>
            <w:color w:val="0000ee"/>
            <w:sz w:val="24"/>
            <w:szCs w:val="24"/>
            <w:u w:val="single"/>
            <w:rtl w:val="0"/>
          </w:rPr>
          <w:t xml:space="preserve">https://www.esrb.europa.eu/pub/pdf/other/Systemic_Climate_Risk.en.pdf</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Carbon Risk Premium | Portfolio Management Research, accessed on April 23, 2026, </w:t>
      </w:r>
      <w:hyperlink r:id="rId115">
        <w:r w:rsidDel="00000000" w:rsidR="00000000" w:rsidRPr="00000000">
          <w:rPr>
            <w:rFonts w:ascii="Google Sans" w:cs="Google Sans" w:eastAsia="Google Sans" w:hAnsi="Google Sans"/>
            <w:color w:val="0000ee"/>
            <w:sz w:val="24"/>
            <w:szCs w:val="24"/>
            <w:u w:val="single"/>
            <w:rtl w:val="0"/>
          </w:rPr>
          <w:t xml:space="preserve">https://www.pm-research.com/content/iijaltinv/25/1/33</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macc curve explained: marginal abatement cost analysis - Homaio, accessed on April 23, 2026, </w:t>
      </w:r>
      <w:hyperlink r:id="rId116">
        <w:r w:rsidDel="00000000" w:rsidR="00000000" w:rsidRPr="00000000">
          <w:rPr>
            <w:rFonts w:ascii="Google Sans" w:cs="Google Sans" w:eastAsia="Google Sans" w:hAnsi="Google Sans"/>
            <w:color w:val="0000ee"/>
            <w:sz w:val="24"/>
            <w:szCs w:val="24"/>
            <w:u w:val="single"/>
            <w:rtl w:val="0"/>
          </w:rPr>
          <w:t xml:space="preserve">https://www.homaio.com/post/what-is-the-marginal-abatement-cost-of-carbon-macc-curve</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CCTS: Accelerating the path to decarbonization | EY, accessed on April 23, 2026, </w:t>
      </w:r>
      <w:hyperlink r:id="rId117">
        <w:r w:rsidDel="00000000" w:rsidR="00000000" w:rsidRPr="00000000">
          <w:rPr>
            <w:rFonts w:ascii="Google Sans" w:cs="Google Sans" w:eastAsia="Google Sans" w:hAnsi="Google Sans"/>
            <w:color w:val="0000ee"/>
            <w:sz w:val="24"/>
            <w:szCs w:val="24"/>
            <w:u w:val="single"/>
            <w:rtl w:val="0"/>
          </w:rPr>
          <w:t xml:space="preserve">https://www.ey.com/content/dam/ey-unified-site/ey-com/en-in/insights/climate-change-sustainability-services/documents/2026/ey-ccts-accelerating-the-path-to-decarbonization.pdf</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Climate Value-at-Risk | MSCI, accessed on April 23, 2026, </w:t>
      </w:r>
      <w:hyperlink r:id="rId118">
        <w:r w:rsidDel="00000000" w:rsidR="00000000" w:rsidRPr="00000000">
          <w:rPr>
            <w:rFonts w:ascii="Google Sans" w:cs="Google Sans" w:eastAsia="Google Sans" w:hAnsi="Google Sans"/>
            <w:color w:val="0000ee"/>
            <w:sz w:val="24"/>
            <w:szCs w:val="24"/>
            <w:u w:val="single"/>
            <w:rtl w:val="0"/>
          </w:rPr>
          <w:t xml:space="preserve">https://www.msci.com/documents/1296102/16985724/MSCI-ClimateVaR-Introduction-Feb2020.pdf</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Value at Risk (Carbon VaR) - Homaio, accessed on April 23, 2026, </w:t>
      </w:r>
      <w:hyperlink r:id="rId119">
        <w:r w:rsidDel="00000000" w:rsidR="00000000" w:rsidRPr="00000000">
          <w:rPr>
            <w:rFonts w:ascii="Google Sans" w:cs="Google Sans" w:eastAsia="Google Sans" w:hAnsi="Google Sans"/>
            <w:color w:val="0000ee"/>
            <w:sz w:val="24"/>
            <w:szCs w:val="24"/>
            <w:u w:val="single"/>
            <w:rtl w:val="0"/>
          </w:rPr>
          <w:t xml:space="preserve">https://www.homaio.com/glossary/carbon-value-at-risk</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Climate Value- at-Risk (VaR) - ICMAI, accessed on April 23, 2026, </w:t>
      </w:r>
      <w:hyperlink r:id="rId120">
        <w:r w:rsidDel="00000000" w:rsidR="00000000" w:rsidRPr="00000000">
          <w:rPr>
            <w:rFonts w:ascii="Google Sans" w:cs="Google Sans" w:eastAsia="Google Sans" w:hAnsi="Google Sans"/>
            <w:color w:val="0000ee"/>
            <w:sz w:val="24"/>
            <w:szCs w:val="24"/>
            <w:u w:val="single"/>
            <w:rtl w:val="0"/>
          </w:rPr>
          <w:t xml:space="preserve">https://icmai.in:8443/Upload/ssb/Climate_Value_at_Risk_Compilation_3005_2025.pdf</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Climate Stress Testing to Climate Value-at-Risk: A Stochastic Approach, accessed on April 23, 2026, </w:t>
      </w:r>
      <w:hyperlink r:id="rId121">
        <w:r w:rsidDel="00000000" w:rsidR="00000000" w:rsidRPr="00000000">
          <w:rPr>
            <w:rFonts w:ascii="Google Sans" w:cs="Google Sans" w:eastAsia="Google Sans" w:hAnsi="Google Sans"/>
            <w:color w:val="0000ee"/>
            <w:sz w:val="24"/>
            <w:szCs w:val="24"/>
            <w:u w:val="single"/>
            <w:rtl w:val="0"/>
          </w:rPr>
          <w:t xml:space="preserve">https://research-center.amundi.com/article/climate-stress-testing-climate-value-risk-stochastic-approach</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Financial Statement Simulator to Aid Stress and Reverse Stress Testing - SAS Support, accessed on April 23, 2026, </w:t>
      </w:r>
      <w:hyperlink r:id="rId122">
        <w:r w:rsidDel="00000000" w:rsidR="00000000" w:rsidRPr="00000000">
          <w:rPr>
            <w:rFonts w:ascii="Google Sans" w:cs="Google Sans" w:eastAsia="Google Sans" w:hAnsi="Google Sans"/>
            <w:color w:val="0000ee"/>
            <w:sz w:val="24"/>
            <w:szCs w:val="24"/>
            <w:u w:val="single"/>
            <w:rtl w:val="0"/>
          </w:rPr>
          <w:t xml:space="preserve">https://support.sas.com/resources/papers/proceedings19/3163-2019.pdf</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climate-related financial risks using scenario analysis | Bank of England, accessed on April 23, 2026, </w:t>
      </w:r>
      <w:hyperlink r:id="rId123">
        <w:r w:rsidDel="00000000" w:rsidR="00000000" w:rsidRPr="00000000">
          <w:rPr>
            <w:rFonts w:ascii="Google Sans" w:cs="Google Sans" w:eastAsia="Google Sans" w:hAnsi="Google Sans"/>
            <w:color w:val="0000ee"/>
            <w:sz w:val="24"/>
            <w:szCs w:val="24"/>
            <w:u w:val="single"/>
            <w:rtl w:val="0"/>
          </w:rPr>
          <w:t xml:space="preserve">https://www.bankofengland.co.uk/quarterly-bulletin/2024/2024/measuring-climate-related-financial-risks-using-scenario-analysis</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Estimation and forecast of carbon emission market volatility based on model averaging method - IDEAS/RePEc, accessed on April 23, 2026, </w:t>
      </w:r>
      <w:hyperlink r:id="rId124">
        <w:r w:rsidDel="00000000" w:rsidR="00000000" w:rsidRPr="00000000">
          <w:rPr>
            <w:rFonts w:ascii="Google Sans" w:cs="Google Sans" w:eastAsia="Google Sans" w:hAnsi="Google Sans"/>
            <w:color w:val="0000ee"/>
            <w:sz w:val="24"/>
            <w:szCs w:val="24"/>
            <w:u w:val="single"/>
            <w:rtl w:val="0"/>
          </w:rPr>
          <w:t xml:space="preserve">https://ideas.repec.org/a/eee/ecmode/v143y2025ics026499932400333x.html</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Mixed-Frequency Modeling of Carbon Market Option Implied Volatility - NYU Shanghai, accessed on April 23, 2026, </w:t>
      </w:r>
      <w:hyperlink r:id="rId125">
        <w:r w:rsidDel="00000000" w:rsidR="00000000" w:rsidRPr="00000000">
          <w:rPr>
            <w:rFonts w:ascii="Google Sans" w:cs="Google Sans" w:eastAsia="Google Sans" w:hAnsi="Google Sans"/>
            <w:color w:val="0000ee"/>
            <w:sz w:val="24"/>
            <w:szCs w:val="24"/>
            <w:u w:val="single"/>
            <w:rtl w:val="0"/>
          </w:rPr>
          <w:t xml:space="preserve">https://cdn.shanghai.nyu.edu/sites/default/files/honorsthesis2025_ziyue_fang.pdf</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Carbon Emission Reduction Strategies Considering the Carbon Market - MDPI, accessed on April 23, 2026, </w:t>
      </w:r>
      <w:hyperlink r:id="rId126">
        <w:r w:rsidDel="00000000" w:rsidR="00000000" w:rsidRPr="00000000">
          <w:rPr>
            <w:rFonts w:ascii="Google Sans" w:cs="Google Sans" w:eastAsia="Google Sans" w:hAnsi="Google Sans"/>
            <w:color w:val="0000ee"/>
            <w:sz w:val="24"/>
            <w:szCs w:val="24"/>
            <w:u w:val="single"/>
            <w:rtl w:val="0"/>
          </w:rPr>
          <w:t xml:space="preserve">https://www.mdpi.com/2227-7390/14/1/68</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investor guide to scenario-based methods for climate risk assessment, in response to the TCFD, accessed on April 23, 2026, </w:t>
      </w:r>
      <w:hyperlink r:id="rId127">
        <w:r w:rsidDel="00000000" w:rsidR="00000000" w:rsidRPr="00000000">
          <w:rPr>
            <w:rFonts w:ascii="Google Sans" w:cs="Google Sans" w:eastAsia="Google Sans" w:hAnsi="Google Sans"/>
            <w:color w:val="0000ee"/>
            <w:sz w:val="24"/>
            <w:szCs w:val="24"/>
            <w:u w:val="single"/>
            <w:rtl w:val="0"/>
          </w:rPr>
          <w:t xml:space="preserve">https://www.unepfi.org/wordpress/wp-content/uploads/2019/05/TCFD-Changing-Course-Oct-19.pdf</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Our First Benchmark For Climate Risk Digital Solutions - Verdantix, accessed on April 23, 2026, </w:t>
      </w:r>
      <w:hyperlink r:id="rId128">
        <w:r w:rsidDel="00000000" w:rsidR="00000000" w:rsidRPr="00000000">
          <w:rPr>
            <w:rFonts w:ascii="Google Sans" w:cs="Google Sans" w:eastAsia="Google Sans" w:hAnsi="Google Sans"/>
            <w:color w:val="0000ee"/>
            <w:sz w:val="24"/>
            <w:szCs w:val="24"/>
            <w:u w:val="single"/>
            <w:rtl w:val="0"/>
          </w:rPr>
          <w:t xml:space="preserve">https://www.verdantix.com/client-portal/blog/introducing-our-first-benchmark-for-climate-risk-digital-solutions</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5 best carbon accounting software platforms 2026 | Normative, accessed on April 23, 2026, </w:t>
      </w:r>
      <w:hyperlink r:id="rId129">
        <w:r w:rsidDel="00000000" w:rsidR="00000000" w:rsidRPr="00000000">
          <w:rPr>
            <w:rFonts w:ascii="Google Sans" w:cs="Google Sans" w:eastAsia="Google Sans" w:hAnsi="Google Sans"/>
            <w:color w:val="0000ee"/>
            <w:sz w:val="24"/>
            <w:szCs w:val="24"/>
            <w:u w:val="single"/>
            <w:rtl w:val="0"/>
          </w:rPr>
          <w:t xml:space="preserve">https://normative.io/insight/the-5-best-carbon-accounting-software-platforms-2026/</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15 Best Carbon Accounting Software Platforms for 2026 - KEY ESG, accessed on April 23, 2026, </w:t>
      </w:r>
      <w:hyperlink r:id="rId130">
        <w:r w:rsidDel="00000000" w:rsidR="00000000" w:rsidRPr="00000000">
          <w:rPr>
            <w:rFonts w:ascii="Google Sans" w:cs="Google Sans" w:eastAsia="Google Sans" w:hAnsi="Google Sans"/>
            <w:color w:val="0000ee"/>
            <w:sz w:val="24"/>
            <w:szCs w:val="24"/>
            <w:u w:val="single"/>
            <w:rtl w:val="0"/>
          </w:rPr>
          <w:t xml:space="preserve">https://www.keyesg.com/article/best-carbon-accounting-software-platforms</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Climate Risk Quantification &amp; Transfer as a Catalyst for Successful Transactions - Aon, accessed on April 23, 2026, </w:t>
      </w:r>
      <w:hyperlink r:id="rId131">
        <w:r w:rsidDel="00000000" w:rsidR="00000000" w:rsidRPr="00000000">
          <w:rPr>
            <w:rFonts w:ascii="Google Sans" w:cs="Google Sans" w:eastAsia="Google Sans" w:hAnsi="Google Sans"/>
            <w:color w:val="0000ee"/>
            <w:sz w:val="24"/>
            <w:szCs w:val="24"/>
            <w:u w:val="single"/>
            <w:rtl w:val="0"/>
          </w:rPr>
          <w:t xml:space="preserve">https://www.aon.com/en/insights/reports/climate-risk-quantification-and-transfer-as-a-catalyst-for-successful-transactions</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and Analyzing Carbon Emission Market Volatility and Impact: Evidence from Guangdong Province, China - MDPI, accessed on April 23, 2026, </w:t>
      </w:r>
      <w:hyperlink r:id="rId132">
        <w:r w:rsidDel="00000000" w:rsidR="00000000" w:rsidRPr="00000000">
          <w:rPr>
            <w:rFonts w:ascii="Google Sans" w:cs="Google Sans" w:eastAsia="Google Sans" w:hAnsi="Google Sans"/>
            <w:color w:val="0000ee"/>
            <w:sz w:val="24"/>
            <w:szCs w:val="24"/>
            <w:u w:val="single"/>
            <w:rtl w:val="0"/>
          </w:rPr>
          <w:t xml:space="preserve">https://www.mdpi.com/2079-8954/12/11/458</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Carbon Credit Trading in India: Scheme &amp; CERC Rules - Neeti Niyaman, accessed on April 23, 2026, </w:t>
      </w:r>
      <w:hyperlink r:id="rId133">
        <w:r w:rsidDel="00000000" w:rsidR="00000000" w:rsidRPr="00000000">
          <w:rPr>
            <w:rFonts w:ascii="Google Sans" w:cs="Google Sans" w:eastAsia="Google Sans" w:hAnsi="Google Sans"/>
            <w:color w:val="0000ee"/>
            <w:sz w:val="24"/>
            <w:szCs w:val="24"/>
            <w:u w:val="single"/>
            <w:rtl w:val="0"/>
          </w:rPr>
          <w:t xml:space="preserve">https://neetiniyaman.com/carbon-credit-trading-in-india-scheme-and-cerc-rules/</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climate risk data to enhance fixed income analytics: how Sust Global is empowering investors, accessed on April 23, 2026, </w:t>
      </w:r>
      <w:hyperlink r:id="rId134">
        <w:r w:rsidDel="00000000" w:rsidR="00000000" w:rsidRPr="00000000">
          <w:rPr>
            <w:rFonts w:ascii="Google Sans" w:cs="Google Sans" w:eastAsia="Google Sans" w:hAnsi="Google Sans"/>
            <w:color w:val="0000ee"/>
            <w:sz w:val="24"/>
            <w:szCs w:val="24"/>
            <w:u w:val="single"/>
            <w:rtl w:val="0"/>
          </w:rPr>
          <w:t xml:space="preserve">https://www.sustglobal.com/insights/climate-risk-data-fixed-income-analytics</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B2B SaaS Pricing Benchmarks - Benchmarkit, accessed on April 23, 2026, </w:t>
      </w:r>
      <w:hyperlink r:id="rId135">
        <w:r w:rsidDel="00000000" w:rsidR="00000000" w:rsidRPr="00000000">
          <w:rPr>
            <w:rFonts w:ascii="Google Sans" w:cs="Google Sans" w:eastAsia="Google Sans" w:hAnsi="Google Sans"/>
            <w:color w:val="0000ee"/>
            <w:sz w:val="24"/>
            <w:szCs w:val="24"/>
            <w:u w:val="single"/>
            <w:rtl w:val="0"/>
          </w:rPr>
          <w:t xml:space="preserve">https://www.benchmarkit.ai/metrics-that-measure-up-podcasts/b2b-saas-pricing-benchmarks</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Guide to SaaS, AI, and Agentic Pricing Models - Monetizely, accessed on April 23, 2026, </w:t>
      </w:r>
      <w:hyperlink r:id="rId136">
        <w:r w:rsidDel="00000000" w:rsidR="00000000" w:rsidRPr="00000000">
          <w:rPr>
            <w:rFonts w:ascii="Google Sans" w:cs="Google Sans" w:eastAsia="Google Sans" w:hAnsi="Google Sans"/>
            <w:color w:val="0000ee"/>
            <w:sz w:val="24"/>
            <w:szCs w:val="24"/>
            <w:u w:val="single"/>
            <w:rtl w:val="0"/>
          </w:rPr>
          <w:t xml:space="preserve">https://www.getmonetizely.com/blogs/the-2026-guide-to-saas-ai-and-agentic-pricing-models</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SaaS Monetization Models &amp; the Required Infrastructure - Stigg, accessed on April 23, 2026, </w:t>
      </w:r>
      <w:hyperlink r:id="rId137">
        <w:r w:rsidDel="00000000" w:rsidR="00000000" w:rsidRPr="00000000">
          <w:rPr>
            <w:rFonts w:ascii="Google Sans" w:cs="Google Sans" w:eastAsia="Google Sans" w:hAnsi="Google Sans"/>
            <w:color w:val="0000ee"/>
            <w:sz w:val="24"/>
            <w:szCs w:val="24"/>
            <w:u w:val="single"/>
            <w:rtl w:val="0"/>
          </w:rPr>
          <w:t xml:space="preserve">https://www.stigg.io/blog-posts/saas-monetization</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B2B SaaS Pricing - Q1 Benchmarks &amp; Models - York IE, accessed on April 23, 2026, </w:t>
      </w:r>
      <w:hyperlink r:id="rId138">
        <w:r w:rsidDel="00000000" w:rsidR="00000000" w:rsidRPr="00000000">
          <w:rPr>
            <w:rFonts w:ascii="Google Sans" w:cs="Google Sans" w:eastAsia="Google Sans" w:hAnsi="Google Sans"/>
            <w:color w:val="0000ee"/>
            <w:sz w:val="24"/>
            <w:szCs w:val="24"/>
            <w:u w:val="single"/>
            <w:rtl w:val="0"/>
          </w:rPr>
          <w:t xml:space="preserve">https://get.york.ie/hubfs/6154898/JPM%20Pricing%20Webinar/PricingSaaS%20-%202024%20Benchmark%20Report.pdf?hsLang=en-ie</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Demystifying the Cloud Consumption Model | Deloitte US, accessed on April 23, 2026, </w:t>
      </w:r>
      <w:hyperlink r:id="rId139">
        <w:r w:rsidDel="00000000" w:rsidR="00000000" w:rsidRPr="00000000">
          <w:rPr>
            <w:rFonts w:ascii="Google Sans" w:cs="Google Sans" w:eastAsia="Google Sans" w:hAnsi="Google Sans"/>
            <w:color w:val="0000ee"/>
            <w:sz w:val="24"/>
            <w:szCs w:val="24"/>
            <w:u w:val="single"/>
            <w:rtl w:val="0"/>
          </w:rPr>
          <w:t xml:space="preserve">https://www.deloitte.com/us/en/what-we-do/capabilities/cloud-transformation/articles/cloud-consumption-model.html</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Pricing Models: The 2026 Guide to 6 Winning Strategies - Revenera, accessed on April 23, 2026, </w:t>
      </w:r>
      <w:hyperlink r:id="rId140">
        <w:r w:rsidDel="00000000" w:rsidR="00000000" w:rsidRPr="00000000">
          <w:rPr>
            <w:rFonts w:ascii="Google Sans" w:cs="Google Sans" w:eastAsia="Google Sans" w:hAnsi="Google Sans"/>
            <w:color w:val="0000ee"/>
            <w:sz w:val="24"/>
            <w:szCs w:val="24"/>
            <w:u w:val="single"/>
            <w:rtl w:val="0"/>
          </w:rPr>
          <w:t xml:space="preserve">https://www.revenera.com/blog/software-monetization/saas-pricing-models-guide/</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B2B pricing strategy: How to design models that drive long-term growth - Stripe, accessed on April 23, 2026, </w:t>
      </w:r>
      <w:hyperlink r:id="rId141">
        <w:r w:rsidDel="00000000" w:rsidR="00000000" w:rsidRPr="00000000">
          <w:rPr>
            <w:rFonts w:ascii="Google Sans" w:cs="Google Sans" w:eastAsia="Google Sans" w:hAnsi="Google Sans"/>
            <w:color w:val="0000ee"/>
            <w:sz w:val="24"/>
            <w:szCs w:val="24"/>
            <w:u w:val="single"/>
            <w:rtl w:val="0"/>
          </w:rPr>
          <w:t xml:space="preserve">https://stripe.com/resources/more/b2b-pricing-strategy-how-to-design-models-that-drive-long-term-growth</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FactSet API Catalog | Financial Data API, accessed on April 23, 2026, </w:t>
      </w:r>
      <w:hyperlink r:id="rId142">
        <w:r w:rsidDel="00000000" w:rsidR="00000000" w:rsidRPr="00000000">
          <w:rPr>
            <w:rFonts w:ascii="Google Sans" w:cs="Google Sans" w:eastAsia="Google Sans" w:hAnsi="Google Sans"/>
            <w:color w:val="0000ee"/>
            <w:sz w:val="24"/>
            <w:szCs w:val="24"/>
            <w:u w:val="single"/>
            <w:rtl w:val="0"/>
          </w:rPr>
          <w:t xml:space="preserve">https://developer.factset.com/api-catalog</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Financial Benchmarks 2024 - Lucid.now, accessed on April 23, 2026, </w:t>
      </w:r>
      <w:hyperlink r:id="rId143">
        <w:r w:rsidDel="00000000" w:rsidR="00000000" w:rsidRPr="00000000">
          <w:rPr>
            <w:rFonts w:ascii="Google Sans" w:cs="Google Sans" w:eastAsia="Google Sans" w:hAnsi="Google Sans"/>
            <w:color w:val="0000ee"/>
            <w:sz w:val="24"/>
            <w:szCs w:val="24"/>
            <w:u w:val="single"/>
            <w:rtl w:val="0"/>
          </w:rPr>
          <w:t xml:space="preserve">https://www.lucid.now/blog/saas-financial-benchmarks-2024/</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early 2026 SaaS trends, accessed on April 23, 2026, </w:t>
      </w:r>
      <w:hyperlink r:id="rId144">
        <w:r w:rsidDel="00000000" w:rsidR="00000000" w:rsidRPr="00000000">
          <w:rPr>
            <w:rFonts w:ascii="Google Sans" w:cs="Google Sans" w:eastAsia="Google Sans" w:hAnsi="Google Sans"/>
            <w:color w:val="0000ee"/>
            <w:sz w:val="24"/>
            <w:szCs w:val="24"/>
            <w:u w:val="single"/>
            <w:rtl w:val="0"/>
          </w:rPr>
          <w:t xml:space="preserve">https://www.saas-capital.com/blog-posts/four-early-2026-saas-trends/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4.png"/><Relationship Id="rId41" Type="http://schemas.openxmlformats.org/officeDocument/2006/relationships/image" Target="media/image5.png"/><Relationship Id="rId44" Type="http://schemas.openxmlformats.org/officeDocument/2006/relationships/image" Target="media/image8.png"/><Relationship Id="rId43" Type="http://schemas.openxmlformats.org/officeDocument/2006/relationships/image" Target="media/image3.png"/><Relationship Id="rId46" Type="http://schemas.openxmlformats.org/officeDocument/2006/relationships/image" Target="media/image13.png"/><Relationship Id="rId45" Type="http://schemas.openxmlformats.org/officeDocument/2006/relationships/image" Target="media/image2.png"/><Relationship Id="rId107" Type="http://schemas.openxmlformats.org/officeDocument/2006/relationships/hyperlink" Target="https://www.ceew.in/publications/how-can-india-decarbonise-for-net-zero-cement-industry" TargetMode="External"/><Relationship Id="rId106" Type="http://schemas.openxmlformats.org/officeDocument/2006/relationships/hyperlink" Target="https://library.edf.org/AssetLink/6328jfn6lw6t8x7yy6q3wkw07x86n6c2.pdf" TargetMode="External"/><Relationship Id="rId105" Type="http://schemas.openxmlformats.org/officeDocument/2006/relationships/hyperlink" Target="https://stats.stackexchange.com/questions/343466/fat-tails-and-volatility-clustering-relationship" TargetMode="External"/><Relationship Id="rId104" Type="http://schemas.openxmlformats.org/officeDocument/2006/relationships/hyperlink" Target="https://www.researchgate.net/publication/227388141_A_Heavy-Tailed_Distribution_for_ARCH_Residuals_with_Application_to_Volatility_Prediction" TargetMode="External"/><Relationship Id="rId109" Type="http://schemas.openxmlformats.org/officeDocument/2006/relationships/hyperlink" Target="https://infra.economictimes.indiatimes.com/news/construction/indias-carbon-credit-trading-scheme-managing-costs-and-emission-pressures-for-cement-and-aluminium-industries/130441115" TargetMode="External"/><Relationship Id="rId108" Type="http://schemas.openxmlformats.org/officeDocument/2006/relationships/hyperlink" Target="https://www.mckinsey.com/~/media/mckinsey/business%20functions/sustainability/our%20insights/decarbonizing%20india%20charting%20a%20pathway%20for%20sustainable%20growth/decarbonising-india-charting-a-pathway-for-sustainable-growth-full-f.pdf" TargetMode="External"/><Relationship Id="rId48" Type="http://schemas.openxmlformats.org/officeDocument/2006/relationships/image" Target="media/image44.png"/><Relationship Id="rId47" Type="http://schemas.openxmlformats.org/officeDocument/2006/relationships/image" Target="media/image1.png"/><Relationship Id="rId49" Type="http://schemas.openxmlformats.org/officeDocument/2006/relationships/image" Target="media/image41.png"/><Relationship Id="rId103" Type="http://schemas.openxmlformats.org/officeDocument/2006/relationships/hyperlink" Target="https://journals.zeuspress.org/index.php/conference/article/view/548" TargetMode="External"/><Relationship Id="rId102" Type="http://schemas.openxmlformats.org/officeDocument/2006/relationships/hyperlink" Target="https://arxiv.org/abs/2009.10764" TargetMode="External"/><Relationship Id="rId101" Type="http://schemas.openxmlformats.org/officeDocument/2006/relationships/hyperlink" Target="https://journals.plos.org/plosone/article?id=10.1371/journal.pone.0294269" TargetMode="External"/><Relationship Id="rId100" Type="http://schemas.openxmlformats.org/officeDocument/2006/relationships/hyperlink" Target="https://www.mdpi.com/2071-1050/16/4/1588" TargetMode="External"/><Relationship Id="rId31" Type="http://schemas.openxmlformats.org/officeDocument/2006/relationships/image" Target="media/image17.png"/><Relationship Id="rId30" Type="http://schemas.openxmlformats.org/officeDocument/2006/relationships/image" Target="media/image16.png"/><Relationship Id="rId33" Type="http://schemas.openxmlformats.org/officeDocument/2006/relationships/image" Target="media/image6.png"/><Relationship Id="rId32" Type="http://schemas.openxmlformats.org/officeDocument/2006/relationships/image" Target="media/image15.png"/><Relationship Id="rId35" Type="http://schemas.openxmlformats.org/officeDocument/2006/relationships/image" Target="media/image33.png"/><Relationship Id="rId34" Type="http://schemas.openxmlformats.org/officeDocument/2006/relationships/image" Target="media/image9.png"/><Relationship Id="rId37" Type="http://schemas.openxmlformats.org/officeDocument/2006/relationships/image" Target="media/image31.png"/><Relationship Id="rId36" Type="http://schemas.openxmlformats.org/officeDocument/2006/relationships/image" Target="media/image7.png"/><Relationship Id="rId39" Type="http://schemas.openxmlformats.org/officeDocument/2006/relationships/image" Target="media/image14.png"/><Relationship Id="rId38" Type="http://schemas.openxmlformats.org/officeDocument/2006/relationships/image" Target="media/image10.png"/><Relationship Id="rId20" Type="http://schemas.openxmlformats.org/officeDocument/2006/relationships/image" Target="media/image58.png"/><Relationship Id="rId22" Type="http://schemas.openxmlformats.org/officeDocument/2006/relationships/image" Target="media/image18.png"/><Relationship Id="rId21" Type="http://schemas.openxmlformats.org/officeDocument/2006/relationships/image" Target="media/image51.png"/><Relationship Id="rId24" Type="http://schemas.openxmlformats.org/officeDocument/2006/relationships/image" Target="media/image22.png"/><Relationship Id="rId23" Type="http://schemas.openxmlformats.org/officeDocument/2006/relationships/image" Target="media/image29.png"/><Relationship Id="rId129" Type="http://schemas.openxmlformats.org/officeDocument/2006/relationships/hyperlink" Target="https://normative.io/insight/the-5-best-carbon-accounting-software-platforms-2026/" TargetMode="External"/><Relationship Id="rId128" Type="http://schemas.openxmlformats.org/officeDocument/2006/relationships/hyperlink" Target="https://www.verdantix.com/client-portal/blog/introducing-our-first-benchmark-for-climate-risk-digital-solutions" TargetMode="External"/><Relationship Id="rId127" Type="http://schemas.openxmlformats.org/officeDocument/2006/relationships/hyperlink" Target="https://www.unepfi.org/wordpress/wp-content/uploads/2019/05/TCFD-Changing-Course-Oct-19.pdf" TargetMode="External"/><Relationship Id="rId126" Type="http://schemas.openxmlformats.org/officeDocument/2006/relationships/hyperlink" Target="https://www.mdpi.com/2227-7390/14/1/68" TargetMode="External"/><Relationship Id="rId26" Type="http://schemas.openxmlformats.org/officeDocument/2006/relationships/image" Target="media/image30.png"/><Relationship Id="rId121" Type="http://schemas.openxmlformats.org/officeDocument/2006/relationships/hyperlink" Target="https://research-center.amundi.com/article/climate-stress-testing-climate-value-risk-stochastic-approach" TargetMode="External"/><Relationship Id="rId25" Type="http://schemas.openxmlformats.org/officeDocument/2006/relationships/image" Target="media/image26.png"/><Relationship Id="rId120" Type="http://schemas.openxmlformats.org/officeDocument/2006/relationships/hyperlink" Target="https://icmai.in:8443/Upload/ssb/Climate_Value_at_Risk_Compilation_3005_2025.pdf" TargetMode="External"/><Relationship Id="rId28" Type="http://schemas.openxmlformats.org/officeDocument/2006/relationships/image" Target="media/image43.png"/><Relationship Id="rId27" Type="http://schemas.openxmlformats.org/officeDocument/2006/relationships/image" Target="media/image28.png"/><Relationship Id="rId125" Type="http://schemas.openxmlformats.org/officeDocument/2006/relationships/hyperlink" Target="https://cdn.shanghai.nyu.edu/sites/default/files/honorsthesis2025_ziyue_fang.pdf" TargetMode="External"/><Relationship Id="rId29" Type="http://schemas.openxmlformats.org/officeDocument/2006/relationships/image" Target="media/image27.png"/><Relationship Id="rId124" Type="http://schemas.openxmlformats.org/officeDocument/2006/relationships/hyperlink" Target="https://ideas.repec.org/a/eee/ecmode/v143y2025ics026499932400333x.html" TargetMode="External"/><Relationship Id="rId123" Type="http://schemas.openxmlformats.org/officeDocument/2006/relationships/hyperlink" Target="https://www.bankofengland.co.uk/quarterly-bulletin/2024/2024/measuring-climate-related-financial-risks-using-scenario-analysis" TargetMode="External"/><Relationship Id="rId122" Type="http://schemas.openxmlformats.org/officeDocument/2006/relationships/hyperlink" Target="https://support.sas.com/resources/papers/proceedings19/3163-2019.pdf" TargetMode="External"/><Relationship Id="rId95" Type="http://schemas.openxmlformats.org/officeDocument/2006/relationships/hyperlink" Target="https://www.scitepress.org/Papers/2022/117576/117576.pdf" TargetMode="External"/><Relationship Id="rId94" Type="http://schemas.openxmlformats.org/officeDocument/2006/relationships/hyperlink" Target="https://www.nseindia.com/static/products-services/commodity-derivatives-contract-specification-energy" TargetMode="External"/><Relationship Id="rId97" Type="http://schemas.openxmlformats.org/officeDocument/2006/relationships/hyperlink" Target="https://pmc.ncbi.nlm.nih.gov/articles/PMC8775960/" TargetMode="External"/><Relationship Id="rId96" Type="http://schemas.openxmlformats.org/officeDocument/2006/relationships/hyperlink" Target="https://www.mdpi.com/1660-4601/19/2/899" TargetMode="External"/><Relationship Id="rId11" Type="http://schemas.openxmlformats.org/officeDocument/2006/relationships/image" Target="media/image36.png"/><Relationship Id="rId99" Type="http://schemas.openxmlformats.org/officeDocument/2006/relationships/hyperlink" Target="https://ideas.repec.org/a/plo/pone00/0294269.html" TargetMode="External"/><Relationship Id="rId10" Type="http://schemas.openxmlformats.org/officeDocument/2006/relationships/image" Target="media/image35.png"/><Relationship Id="rId98" Type="http://schemas.openxmlformats.org/officeDocument/2006/relationships/hyperlink" Target="https://www.researchgate.net/publication/403745713_A_Predictive_Framework_for_Carbon_Credit_Volatility_and_Its_Impact_on_Green_Cash_Flow_Forecasting" TargetMode="External"/><Relationship Id="rId13" Type="http://schemas.openxmlformats.org/officeDocument/2006/relationships/image" Target="media/image47.png"/><Relationship Id="rId12" Type="http://schemas.openxmlformats.org/officeDocument/2006/relationships/image" Target="media/image48.png"/><Relationship Id="rId91" Type="http://schemas.openxmlformats.org/officeDocument/2006/relationships/hyperlink" Target="https://ieefa.org/resources/strengthening-indias-carbon-market-case-stability-mechanism-indias-ccts" TargetMode="External"/><Relationship Id="rId90" Type="http://schemas.openxmlformats.org/officeDocument/2006/relationships/hyperlink" Target="https://solarquarter.com/2026/03/03/cerc-notifies-2026-regulations-to-formalize-indias-carbon-credit-trading-market/" TargetMode="External"/><Relationship Id="rId93" Type="http://schemas.openxmlformats.org/officeDocument/2006/relationships/hyperlink" Target="https://www.iexindia.com/technology/exchange-trading" TargetMode="External"/><Relationship Id="rId92" Type="http://schemas.openxmlformats.org/officeDocument/2006/relationships/hyperlink" Target="https://mercomindia.com/cerc-issues-rules-to-operationalize-carbon-credit-trading-on-power-exchanges" TargetMode="External"/><Relationship Id="rId118" Type="http://schemas.openxmlformats.org/officeDocument/2006/relationships/hyperlink" Target="https://www.msci.com/documents/1296102/16985724/MSCI-ClimateVaR-Introduction-Feb2020.pdf" TargetMode="External"/><Relationship Id="rId117" Type="http://schemas.openxmlformats.org/officeDocument/2006/relationships/hyperlink" Target="https://www.ey.com/content/dam/ey-unified-site/ey-com/en-in/insights/climate-change-sustainability-services/documents/2026/ey-ccts-accelerating-the-path-to-decarbonization.pdf" TargetMode="External"/><Relationship Id="rId116" Type="http://schemas.openxmlformats.org/officeDocument/2006/relationships/hyperlink" Target="https://www.homaio.com/post/what-is-the-marginal-abatement-cost-of-carbon-macc-curve" TargetMode="External"/><Relationship Id="rId115" Type="http://schemas.openxmlformats.org/officeDocument/2006/relationships/hyperlink" Target="https://www.pm-research.com/content/iijaltinv/25/1/33" TargetMode="External"/><Relationship Id="rId119" Type="http://schemas.openxmlformats.org/officeDocument/2006/relationships/hyperlink" Target="https://www.homaio.com/glossary/carbon-value-at-risk" TargetMode="External"/><Relationship Id="rId15" Type="http://schemas.openxmlformats.org/officeDocument/2006/relationships/image" Target="media/image46.png"/><Relationship Id="rId110" Type="http://schemas.openxmlformats.org/officeDocument/2006/relationships/hyperlink" Target="https://www.business-standard.com/industry/news/cement-firms-profit-hit-carbon-credit-trading-scheme-icra-126042201388_1.html" TargetMode="External"/><Relationship Id="rId14" Type="http://schemas.openxmlformats.org/officeDocument/2006/relationships/image" Target="media/image57.png"/><Relationship Id="rId17" Type="http://schemas.openxmlformats.org/officeDocument/2006/relationships/image" Target="media/image53.png"/><Relationship Id="rId16" Type="http://schemas.openxmlformats.org/officeDocument/2006/relationships/image" Target="media/image32.png"/><Relationship Id="rId19" Type="http://schemas.openxmlformats.org/officeDocument/2006/relationships/image" Target="media/image54.png"/><Relationship Id="rId114" Type="http://schemas.openxmlformats.org/officeDocument/2006/relationships/hyperlink" Target="https://www.esrb.europa.eu/pub/pdf/other/Systemic_Climate_Risk.en.pdf" TargetMode="External"/><Relationship Id="rId18" Type="http://schemas.openxmlformats.org/officeDocument/2006/relationships/image" Target="media/image55.png"/><Relationship Id="rId113" Type="http://schemas.openxmlformats.org/officeDocument/2006/relationships/hyperlink" Target="https://cer.iitk.ac.in/odf_assets/upload_files/blog_Draft_Compliance_Procedure_October_2023.pdf" TargetMode="External"/><Relationship Id="rId112" Type="http://schemas.openxmlformats.org/officeDocument/2006/relationships/hyperlink" Target="https://www.bis.org/publ/bppdf/bispap130.pdf" TargetMode="External"/><Relationship Id="rId111" Type="http://schemas.openxmlformats.org/officeDocument/2006/relationships/hyperlink" Target="https://shaktifoundation.in/wp-content/uploads/2021/12/CLIMATE_RISK_MAINSTREAMING_APPROACHES_FOR_INDIAN_FINANCIAL_INSTITUTIONS.pdf" TargetMode="External"/><Relationship Id="rId84" Type="http://schemas.openxmlformats.org/officeDocument/2006/relationships/hyperlink" Target="https://businessmodelcanvastemplate.com/blogs/how-it-works/sentra-world-how-it-works" TargetMode="External"/><Relationship Id="rId83" Type="http://schemas.openxmlformats.org/officeDocument/2006/relationships/hyperlink" Target="https://bilancia-group.com/the-indian-carbon-market-framework-registration-compliance-documentation-guide/" TargetMode="External"/><Relationship Id="rId86" Type="http://schemas.openxmlformats.org/officeDocument/2006/relationships/hyperlink" Target="https://carbonherald.com/india-opens-carbon-market-portal-to-kick-start-emissions-trading-system/" TargetMode="External"/><Relationship Id="rId85" Type="http://schemas.openxmlformats.org/officeDocument/2006/relationships/hyperlink" Target="https://india.mongabay.com/short-article/2026/01/four-more-industries-face-emissions-reduction-targets/" TargetMode="External"/><Relationship Id="rId88" Type="http://schemas.openxmlformats.org/officeDocument/2006/relationships/hyperlink" Target="https://icapcarbonaction.com/en/news/india-notifies-emission-intensity-targets-nine-sectors-under-carbon-credit-trading-scheme" TargetMode="External"/><Relationship Id="rId87" Type="http://schemas.openxmlformats.org/officeDocument/2006/relationships/hyperlink" Target="https://www.khaitanco.com/sites/default/files/2026-03/ERGO_Carbon%20Credit%20Enter%20the%20Market_20%20March%202026.pdf" TargetMode="External"/><Relationship Id="rId89" Type="http://schemas.openxmlformats.org/officeDocument/2006/relationships/hyperlink" Target="https://energy.prayaspune.org/images/pdf/CERC-PoCCC-draft-regs-2024.pdf" TargetMode="External"/><Relationship Id="rId80" Type="http://schemas.openxmlformats.org/officeDocument/2006/relationships/hyperlink" Target="https://www.lawrbit.com/article/india-carbon-credit-trading-scheme-compliance/" TargetMode="External"/><Relationship Id="rId82" Type="http://schemas.openxmlformats.org/officeDocument/2006/relationships/hyperlink" Target="https://envintglobal.com/indias-carbon-credit-offset-mechanism-bees-new-guidelines-for-a-credible-carbon-market/" TargetMode="External"/><Relationship Id="rId81" Type="http://schemas.openxmlformats.org/officeDocument/2006/relationships/hyperlink" Target="https://greenio.co/blog/carbon-accounting-software-comparison-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png"/><Relationship Id="rId143" Type="http://schemas.openxmlformats.org/officeDocument/2006/relationships/hyperlink" Target="https://www.lucid.now/blog/saas-financial-benchmarks-2024/" TargetMode="External"/><Relationship Id="rId142" Type="http://schemas.openxmlformats.org/officeDocument/2006/relationships/hyperlink" Target="https://developer.factset.com/api-catalog" TargetMode="External"/><Relationship Id="rId141" Type="http://schemas.openxmlformats.org/officeDocument/2006/relationships/hyperlink" Target="https://stripe.com/resources/more/b2b-pricing-strategy-how-to-design-models-that-drive-long-term-growth" TargetMode="External"/><Relationship Id="rId140" Type="http://schemas.openxmlformats.org/officeDocument/2006/relationships/hyperlink" Target="https://www.revenera.com/blog/software-monetization/saas-pricing-models-guide/" TargetMode="External"/><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39.png"/><Relationship Id="rId8" Type="http://schemas.openxmlformats.org/officeDocument/2006/relationships/image" Target="media/image12.png"/><Relationship Id="rId144" Type="http://schemas.openxmlformats.org/officeDocument/2006/relationships/hyperlink" Target="https://www.saas-capital.com/blog-posts/four-early-2026-saas-trends/" TargetMode="External"/><Relationship Id="rId73" Type="http://schemas.openxmlformats.org/officeDocument/2006/relationships/hyperlink" Target="https://sentra.world/blogs/ccts/sectors-under-carbon-credit-trading-scheme/" TargetMode="External"/><Relationship Id="rId72" Type="http://schemas.openxmlformats.org/officeDocument/2006/relationships/hyperlink" Target="https://carbonminus.com/how-to-hit-indias-2025-gei-targets/" TargetMode="External"/><Relationship Id="rId75" Type="http://schemas.openxmlformats.org/officeDocument/2006/relationships/hyperlink" Target="https://www.ceew.in/blogs/how-india%E2%80%99s-final-emission-reduction-targets-can-shape-carbon-market-dynamics" TargetMode="External"/><Relationship Id="rId74" Type="http://schemas.openxmlformats.org/officeDocument/2006/relationships/hyperlink" Target="https://www.grow-trees.com/blog-individual/1182/decoding-greenhouse-gas-emission-intensity-targets-across-identified-sectors-under-the-ccts-framework" TargetMode="External"/><Relationship Id="rId77" Type="http://schemas.openxmlformats.org/officeDocument/2006/relationships/hyperlink" Target="https://www.saoicmai.in/E-LibraryBooks/CCTS639063219326087168.pdf" TargetMode="External"/><Relationship Id="rId76" Type="http://schemas.openxmlformats.org/officeDocument/2006/relationships/hyperlink" Target="https://sentra.world/blogs/ccts/carbon-credit-trading-scheme-calculation/" TargetMode="External"/><Relationship Id="rId79" Type="http://schemas.openxmlformats.org/officeDocument/2006/relationships/hyperlink" Target="https://zerocarbon.org.in/carbon-accounting-api" TargetMode="External"/><Relationship Id="rId78" Type="http://schemas.openxmlformats.org/officeDocument/2006/relationships/hyperlink" Target="https://developmentevidence.3ieimpact.org/search-result-details/impact-evaluation-repository/continuous-emissions-monitoring-systems-cems-in-india/8964" TargetMode="External"/><Relationship Id="rId71" Type="http://schemas.openxmlformats.org/officeDocument/2006/relationships/hyperlink" Target="https://icapcarbonaction.com/en/news/compliance-obligations-under-indias-carbon-credit-trading-scheme-enter-force-seven-sectors" TargetMode="External"/><Relationship Id="rId70" Type="http://schemas.openxmlformats.org/officeDocument/2006/relationships/hyperlink" Target="https://www.pib.gov.in/PressReleasePage.aspx?PRID=2217239&amp;reg=3&amp;lang=1" TargetMode="External"/><Relationship Id="rId139" Type="http://schemas.openxmlformats.org/officeDocument/2006/relationships/hyperlink" Target="https://www.deloitte.com/us/en/what-we-do/capabilities/cloud-transformation/articles/cloud-consumption-model.html" TargetMode="External"/><Relationship Id="rId138" Type="http://schemas.openxmlformats.org/officeDocument/2006/relationships/hyperlink" Target="https://get.york.ie/hubfs/6154898/JPM%20Pricing%20Webinar/PricingSaaS%20-%202024%20Benchmark%20Report.pdf?hsLang=en-ie" TargetMode="External"/><Relationship Id="rId137" Type="http://schemas.openxmlformats.org/officeDocument/2006/relationships/hyperlink" Target="https://www.stigg.io/blog-posts/saas-monetization" TargetMode="External"/><Relationship Id="rId132" Type="http://schemas.openxmlformats.org/officeDocument/2006/relationships/hyperlink" Target="https://www.mdpi.com/2079-8954/12/11/458" TargetMode="External"/><Relationship Id="rId131" Type="http://schemas.openxmlformats.org/officeDocument/2006/relationships/hyperlink" Target="https://www.aon.com/en/insights/reports/climate-risk-quantification-and-transfer-as-a-catalyst-for-successful-transactions" TargetMode="External"/><Relationship Id="rId130" Type="http://schemas.openxmlformats.org/officeDocument/2006/relationships/hyperlink" Target="https://www.keyesg.com/article/best-carbon-accounting-software-platforms" TargetMode="External"/><Relationship Id="rId136" Type="http://schemas.openxmlformats.org/officeDocument/2006/relationships/hyperlink" Target="https://www.getmonetizely.com/blogs/the-2026-guide-to-saas-ai-and-agentic-pricing-models" TargetMode="External"/><Relationship Id="rId135" Type="http://schemas.openxmlformats.org/officeDocument/2006/relationships/hyperlink" Target="https://www.benchmarkit.ai/metrics-that-measure-up-podcasts/b2b-saas-pricing-benchmarks" TargetMode="External"/><Relationship Id="rId134" Type="http://schemas.openxmlformats.org/officeDocument/2006/relationships/hyperlink" Target="https://www.sustglobal.com/insights/climate-risk-data-fixed-income-analytics" TargetMode="External"/><Relationship Id="rId133" Type="http://schemas.openxmlformats.org/officeDocument/2006/relationships/hyperlink" Target="https://neetiniyaman.com/carbon-credit-trading-in-india-scheme-and-cerc-rules/" TargetMode="External"/><Relationship Id="rId62" Type="http://schemas.openxmlformats.org/officeDocument/2006/relationships/image" Target="media/image25.png"/><Relationship Id="rId61" Type="http://schemas.openxmlformats.org/officeDocument/2006/relationships/image" Target="media/image23.png"/><Relationship Id="rId64" Type="http://schemas.openxmlformats.org/officeDocument/2006/relationships/hyperlink" Target="https://icapcarbonaction.com/en/news/india-adopts-regulations-planned-compliance-carbon-market" TargetMode="External"/><Relationship Id="rId63" Type="http://schemas.openxmlformats.org/officeDocument/2006/relationships/image" Target="media/image34.png"/><Relationship Id="rId66" Type="http://schemas.openxmlformats.org/officeDocument/2006/relationships/hyperlink" Target="https://www.indiantextilemagazine.in/carbon-credits-climate-policy-and-the-future-of-textile-manufacturing-with-seds-mvr-based-lte-technology/" TargetMode="External"/><Relationship Id="rId65" Type="http://schemas.openxmlformats.org/officeDocument/2006/relationships/hyperlink" Target="https://www.reconnectenergy.com/carbon-market-draft-rules-indias-compliance-era-begins/" TargetMode="External"/><Relationship Id="rId68" Type="http://schemas.openxmlformats.org/officeDocument/2006/relationships/hyperlink" Target="https://sansad.in/getFile/annex/270/AS142_gMIudA.pdf?source=pqars" TargetMode="External"/><Relationship Id="rId67" Type="http://schemas.openxmlformats.org/officeDocument/2006/relationships/hyperlink" Target="https://www.mdpi.com/1996-1073/15/10/3836" TargetMode="External"/><Relationship Id="rId60" Type="http://schemas.openxmlformats.org/officeDocument/2006/relationships/image" Target="media/image21.png"/><Relationship Id="rId69" Type="http://schemas.openxmlformats.org/officeDocument/2006/relationships/hyperlink" Target="https://icapcarbonaction.com/en/ets/indian-carbon-credit-trading-scheme" TargetMode="External"/><Relationship Id="rId51" Type="http://schemas.openxmlformats.org/officeDocument/2006/relationships/image" Target="media/image42.png"/><Relationship Id="rId50" Type="http://schemas.openxmlformats.org/officeDocument/2006/relationships/image" Target="media/image38.png"/><Relationship Id="rId53" Type="http://schemas.openxmlformats.org/officeDocument/2006/relationships/image" Target="media/image49.png"/><Relationship Id="rId52" Type="http://schemas.openxmlformats.org/officeDocument/2006/relationships/image" Target="media/image45.png"/><Relationship Id="rId55" Type="http://schemas.openxmlformats.org/officeDocument/2006/relationships/image" Target="media/image52.png"/><Relationship Id="rId54" Type="http://schemas.openxmlformats.org/officeDocument/2006/relationships/image" Target="media/image50.png"/><Relationship Id="rId57" Type="http://schemas.openxmlformats.org/officeDocument/2006/relationships/image" Target="media/image37.png"/><Relationship Id="rId56" Type="http://schemas.openxmlformats.org/officeDocument/2006/relationships/image" Target="media/image56.png"/><Relationship Id="rId59" Type="http://schemas.openxmlformats.org/officeDocument/2006/relationships/image" Target="media/image24.png"/><Relationship Id="rId5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