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3" w:before="0" w:after="140"/>
        <w:ind w:hanging="0" w:left="0" w:right="0"/>
        <w:jc w:val="left"/>
        <w:rPr/>
      </w:pPr>
      <w:r>
        <w:rPr>
          <w:rFonts w:ascii="Google Sans;sans-serif" w:hAnsi="Google Sans;sans-serif"/>
        </w:rPr>
        <w:t>INDIA CCTS CARBON RISK ENGINE</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Founder Operating Plan</w:t>
      </w:r>
    </w:p>
    <w:p>
      <w:pPr>
        <w:pStyle w:val="BodyText"/>
        <w:bidi w:val="0"/>
        <w:spacing w:lineRule="auto" w:line="273" w:before="0" w:after="140"/>
        <w:ind w:hanging="0" w:left="0" w:right="0"/>
        <w:jc w:val="left"/>
        <w:rPr>
          <w:rFonts w:ascii="Google Sans Text;sans-serif" w:hAnsi="Google Sans Text;sans-serif"/>
          <w:i/>
        </w:rPr>
      </w:pPr>
      <w:r>
        <w:rPr>
          <w:rFonts w:ascii="Google Sans Text;sans-serif" w:hAnsi="Google Sans Text;sans-serif"/>
          <w:i/>
        </w:rPr>
        <w:t>A structured consulting-grade roadmap for a solo founder</w:t>
      </w:r>
    </w:p>
    <w:tbl>
      <w:tblPr>
        <w:tblW w:w="7666" w:type="dxa"/>
        <w:jc w:val="left"/>
        <w:tblInd w:w="0" w:type="dxa"/>
        <w:tblLayout w:type="fixed"/>
        <w:tblCellMar>
          <w:top w:w="28" w:type="dxa"/>
          <w:left w:w="28" w:type="dxa"/>
          <w:bottom w:w="28" w:type="dxa"/>
          <w:right w:w="28" w:type="dxa"/>
        </w:tblCellMar>
      </w:tblPr>
      <w:tblGrid>
        <w:gridCol w:w="2239"/>
        <w:gridCol w:w="5427"/>
      </w:tblGrid>
      <w:tr>
        <w:trPr>
          <w:tblHeader w:val="true"/>
        </w:trPr>
        <w:tc>
          <w:tcPr>
            <w:tcW w:w="22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Engagement type</w:t>
            </w:r>
          </w:p>
        </w:tc>
        <w:tc>
          <w:tcPr>
            <w:tcW w:w="54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Solo founder pre-launch roadmap</w:t>
            </w:r>
          </w:p>
        </w:tc>
      </w:tr>
      <w:tr>
        <w:trPr/>
        <w:tc>
          <w:tcPr>
            <w:tcW w:w="22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Horizon</w:t>
            </w:r>
          </w:p>
        </w:tc>
        <w:tc>
          <w:tcPr>
            <w:tcW w:w="54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28 months</w:t>
            </w:r>
          </w:p>
        </w:tc>
      </w:tr>
      <w:tr>
        <w:trPr/>
        <w:tc>
          <w:tcPr>
            <w:tcW w:w="22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Phases</w:t>
            </w:r>
          </w:p>
        </w:tc>
        <w:tc>
          <w:tcPr>
            <w:tcW w:w="54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 — Foundation / Pilot / Revenue / Scale</w:t>
            </w:r>
          </w:p>
        </w:tc>
      </w:tr>
      <w:tr>
        <w:trPr/>
        <w:tc>
          <w:tcPr>
            <w:tcW w:w="22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Workstreams</w:t>
            </w:r>
          </w:p>
        </w:tc>
        <w:tc>
          <w:tcPr>
            <w:tcW w:w="54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 Data · Market · Money</w:t>
            </w:r>
          </w:p>
        </w:tc>
      </w:tr>
      <w:tr>
        <w:trPr/>
        <w:tc>
          <w:tcPr>
            <w:tcW w:w="22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Domain</w:t>
            </w:r>
          </w:p>
        </w:tc>
        <w:tc>
          <w:tcPr>
            <w:tcW w:w="54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Climate fintech — Indian carbon market (CCTS)</w:t>
            </w:r>
          </w:p>
        </w:tc>
      </w:tr>
      <w:tr>
        <w:trPr/>
        <w:tc>
          <w:tcPr>
            <w:tcW w:w="22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Date</w:t>
            </w:r>
          </w:p>
        </w:tc>
        <w:tc>
          <w:tcPr>
            <w:tcW w:w="542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May 2026</w:t>
            </w:r>
          </w:p>
        </w:tc>
      </w:tr>
    </w:tbl>
    <w:p>
      <w:pPr>
        <w:pStyle w:val="HorizontalLine"/>
        <w:bidi w:val="0"/>
        <w:jc w:val="left"/>
        <w:rPr/>
      </w:pPr>
      <w:r>
        <w:rPr/>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1. Executive Summary</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document is a structured operating plan for building and commercialising a quantitative carbon compliance risk engine targeting India's Carbon Credit Trading Scheme (CCTS). It is written for a single technically-capable founder — Masters in Economics and Econometrics, graduating June 2026, based in Bengaluru — with no initial funding, no co-founder, and no paying clients.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plan covers four phases spanning 28 months from graduation to Series A readiness. It addresses the four hardest challenges a solo climate fintech founder faces in this specific market: what to build first, where data comes from, how to acquire clients with no budget, and how to survive financially while doing it.</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The core thesis: India's CCTS creates a compliance obligation with legally mandated financial penalties for 490+ industrial entities. No software product currently serves this market with quantitative risk intelligence. The window to establish first-mover position is 18–24 months. After that, well-funded incumbents will localise.</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2. Key Assumptions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Every decision in this plan rests on the following assumptions. They are numbered so you can audit each one as reality evolves. Where an assumption is wrong, the plan adapts — the mitigation strategy is noted alongside.</w:t>
      </w:r>
    </w:p>
    <w:tbl>
      <w:tblPr>
        <w:tblW w:w="9638" w:type="dxa"/>
        <w:jc w:val="left"/>
        <w:tblInd w:w="0" w:type="dxa"/>
        <w:tblLayout w:type="fixed"/>
        <w:tblCellMar>
          <w:top w:w="28" w:type="dxa"/>
          <w:left w:w="28" w:type="dxa"/>
          <w:bottom w:w="28" w:type="dxa"/>
          <w:right w:w="28" w:type="dxa"/>
        </w:tblCellMar>
      </w:tblPr>
      <w:tblGrid>
        <w:gridCol w:w="424"/>
        <w:gridCol w:w="2965"/>
        <w:gridCol w:w="2698"/>
        <w:gridCol w:w="3551"/>
      </w:tblGrid>
      <w:tr>
        <w:trPr>
          <w:tblHeader w:val="true"/>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ID</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Assumption</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Basis</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If wrong — mitigation</w:t>
            </w:r>
          </w:p>
        </w:tc>
      </w:tr>
      <w:tr>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A1</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490 obligated entities confirmed; IEX carbon trading launches Q4 2026</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CERC notification March 2026; BEE published sector lists</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Compliance tracking works regardless of trading launch. Shift narrative to penalty avoidance only.</w:t>
            </w:r>
          </w:p>
        </w:tc>
      </w:tr>
      <w:tr>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A2</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GEI dashboard can be built solo in 6–8 weeks using Python and Streamlit</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Standard econometrics stack; no front-end engineering required</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If UI is too complex, hire a freelance front-end developer for ₹30,000 for one sprint.</w:t>
            </w:r>
          </w:p>
        </w:tc>
      </w:tr>
      <w:tr>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A3</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Indian industrial OEs will pay ₹2–5 lakh per facility per year for compliance software</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1/10th cost of Big 4 engagement; precedent from ISO 14064 tools</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Drop to ₹1–2L entry price. Compensate with volume. Do not go below ₹1L — below that you are not a SaaS, you are a spreadsheet.</w:t>
            </w:r>
          </w:p>
        </w:tc>
      </w:tr>
      <w:tr>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A4</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Sufficient public data exists to bootstrap the model before any client pays</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BEE, CERC, CEA, MoEFCC, IEX, CPCB — all publish relevant datasets</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Use EU ETS and Chinese ETS as proxy training data. Clearly disclose this limitation to clients.</w:t>
            </w:r>
          </w:p>
        </w:tc>
      </w:tr>
      <w:tr>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A5</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 well-funded competitor builds a CCTS-native quant engine within 18 months</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Global players have EU/US focus; Indian IT services firms lack climate domain depth</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If TCS or Wipro launches a CCTS module, pivot to serve mid-size OEs they cannot reach cost-effectively.</w:t>
            </w:r>
          </w:p>
        </w:tc>
      </w:tr>
      <w:tr>
        <w:trPr/>
        <w:tc>
          <w:tcPr>
            <w:tcW w:w="42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A6</w:t>
            </w:r>
          </w:p>
        </w:tc>
        <w:tc>
          <w:tcPr>
            <w:tcW w:w="29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CBAM's September 2027 declaration deadline creates a second revenue stream from Indian exporters to the EU</w:t>
            </w:r>
          </w:p>
        </w:tc>
        <w:tc>
          <w:tcPr>
            <w:tcW w:w="26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CBAM fully operational Jan 2026; covers steel, cement, aluminium — exact CCTS sectors</w:t>
            </w:r>
          </w:p>
        </w:tc>
        <w:tc>
          <w:tcPr>
            <w:tcW w:w="355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CBAM module can be deprioritised if CCTS compliance is sufficient to sustain revenue.</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3. Phase-by-Phase Execution Plan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plan is divided into four phases. Each phase has a primary objective, a set of concrete steps across four workstreams (Build, Data, Market, Money), and a gate condition that must be met before moving to the next phase.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Phase 0 — Foundation (Weeks 1–8, before graduation)</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Primary objective: Graduate with a working demo, a published paper, and two warm leads. Not a product. Not a company. Just enough to prove to yourself and others that this is real.</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Gate condition to exit Phase 0: A live Streamlit URL that demonstrates a cement plant's compliance risk with a penalty probability number — built on public data, deployable in 30 seconds.</w:t>
      </w:r>
    </w:p>
    <w:tbl>
      <w:tblPr>
        <w:tblW w:w="9638" w:type="dxa"/>
        <w:jc w:val="left"/>
        <w:tblInd w:w="0" w:type="dxa"/>
        <w:tblLayout w:type="fixed"/>
        <w:tblCellMar>
          <w:top w:w="28" w:type="dxa"/>
          <w:left w:w="28" w:type="dxa"/>
          <w:bottom w:w="28" w:type="dxa"/>
          <w:right w:w="28" w:type="dxa"/>
        </w:tblCellMar>
      </w:tblPr>
      <w:tblGrid>
        <w:gridCol w:w="1950"/>
        <w:gridCol w:w="2244"/>
        <w:gridCol w:w="3928"/>
        <w:gridCol w:w="1516"/>
      </w:tblGrid>
      <w:tr>
        <w:trPr>
          <w:tblHeader w:val="true"/>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Step</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Action</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Output</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Depends on</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BUILD</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P0.1</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Code GEI formula in Python with all BEE sector targets hard-coded from official notifications</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gei_engine.py — tested on dummy facility data</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BEE notification PDFs</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P0.2</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client data intake template: fuel consumption by type, production output, grid electricity units</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data_template_v1.xlsx with field descriptions</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P0.1</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P0.3</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Streamlit dashboard: CSV upload, GEI score, RAG compliance status, penalty rupee calculator</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Live URL on Railway.app — shareable in any email</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P0.1, P0.2</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P0.4</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Add 1,000-path Monte Carlo simulation — probability of fine as headline number</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Penalty probability % displayed prominently on dashboard</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P0.3</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DATA</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P0.5</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Download all public data sources listed in Section 4 — BEE, CEA, IEX, MoEFCC, CPCB</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Local data folder with version-controlled raw files</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None</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P0.6</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synthetic training dataset: 50 simulated facility-years using public sector benchmarks</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synthetic_facilities.csv — used for all demos</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P0.5</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P0.7</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Load UltraTech Cement sustainability report data (publicly available) into demo scenario</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Demo scenario: 'UltraTech Rajasthan plant, ₹3.8 Cr penalty risk, 67% probability'</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P0.3, P0.6</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MARKET</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P0.8</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Convert thesis quantitative chapters into SSRN working paper on CCTS pricing models</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Published SSRN paper with DOI link — shareable as credibility signal</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Thesis draft</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P0.9</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Publish 4 LinkedIn articles targeting CFOs and compliance heads at Indian industrial OEs</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 posts published; topics listed in Section 6</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P0.8</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P0.10</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Email WRI India ICMI team, CEEW, and two BEE-linked academics as a Masters researcher</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At least 1 meeting scheduled with ecosystem contact</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P0.8</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MONEY</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P0.11</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Apply for Karnataka Yuva Nidhi (₹3,000/month) — do this BEFORE registering any company</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Application submitted at sevasindhugs.karnataka.gov.in</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Graduation + 6 months</w:t>
            </w:r>
          </w:p>
        </w:tc>
      </w:tr>
      <w:tr>
        <w:trPr/>
        <w:tc>
          <w:tcPr>
            <w:tcW w:w="195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P0.12</w:t>
            </w:r>
          </w:p>
        </w:tc>
        <w:tc>
          <w:tcPr>
            <w:tcW w:w="224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Create Upwork profile: 'Econometric modelling and carbon market quantitative analysis'</w:t>
            </w:r>
          </w:p>
        </w:tc>
        <w:tc>
          <w:tcPr>
            <w:tcW w:w="39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Profile live; first proposal sent within 72 hours</w:t>
            </w:r>
          </w:p>
        </w:tc>
        <w:tc>
          <w:tcPr>
            <w:tcW w:w="15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None</w:t>
            </w:r>
          </w:p>
        </w:tc>
      </w:tr>
    </w:tbl>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Phase 1 — Pilots (Months 2–7)</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Primary objective: Get three real industrial facilities inputting real data into your tool, even for free. Their data is more valuable than their money at this stage.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Gate condition to exit Phase 1: Three pilot agreements signed (written, even if informal), at least one facility actively uploading data monthly, and NSRCEL application submitted.</w:t>
      </w:r>
    </w:p>
    <w:tbl>
      <w:tblPr>
        <w:tblW w:w="9638" w:type="dxa"/>
        <w:jc w:val="left"/>
        <w:tblInd w:w="0" w:type="dxa"/>
        <w:tblLayout w:type="fixed"/>
        <w:tblCellMar>
          <w:top w:w="28" w:type="dxa"/>
          <w:left w:w="28" w:type="dxa"/>
          <w:bottom w:w="28" w:type="dxa"/>
          <w:right w:w="28" w:type="dxa"/>
        </w:tblCellMar>
      </w:tblPr>
      <w:tblGrid>
        <w:gridCol w:w="2067"/>
        <w:gridCol w:w="3746"/>
        <w:gridCol w:w="2497"/>
        <w:gridCol w:w="1328"/>
      </w:tblGrid>
      <w:tr>
        <w:trPr>
          <w:tblHeader w:val="true"/>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Step</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Action</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Output</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Depends on</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BUILD</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P1.1</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Incorporate OPC — do this AFTER collecting Yuva Nidhi for 2+ months</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OPC registered on MCA portal; GST registered</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P0.11</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P1.2</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Get DPIIT Startup Recognition — free, takes 2–3 weeks, unlocks all government schemes</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DPIIT recognition certificate; startup profile</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P1.1</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P1.3</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Add AI-powered document extraction: LLM reads CPCB PDF reports and fuel invoices, normalises into GEI schema</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Pilot clients can upload any document — no template required</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P0.3, P0.6</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P1.4</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pilot client onboarding flow: intake form, NDA template, data sharing agreement</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Onboarding packet PDF; 1-page data privacy statement</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P1.1</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DATA</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P1.5</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For each pilot client: collect 12–24 months of historical fuel, production, electricity data via CSV or document upload</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Client data files stored in encrypted cloud folder per facility</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P1.4</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P1.6</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Begin IEX carbon market data monitoring the moment trading opens — log every price, volume, clearing data point</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IEX_CCC_prices.csv — first proprietary time series</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IEX launch</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P1.7</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sector comparison benchmarking table from anonymised pilot data (never share individual client data)</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Internal sector GEI benchmark: your first proprietary dataset</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 pilots active</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MARKET</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P1.8</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Cold outreach: 30 emails/week to compliance heads and CFO offices at cement, textile, and steel OEs</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Target: 10+ positive replies; 3+ discovery calls per week</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P0.9, Demo URL</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P1.9</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Apply to NSRCEL IIM Bangalore, IIITB Innovation Centre, and one third incubator for SISFS access</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Applications submitted to 3 incubators; presentations prepared</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P1.2</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P1.10</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Attend CII Energy Summit and one BEE-adjacent event as a registered attendee</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10+ business cards; 2+ potential pilot contacts met in person</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None</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MONEY</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P1.11</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Apply for SISFS grant through accepted incubator (up to ₹20 lakh non-dilutive)</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SISFS application submitted; milestone plan written</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P1.2, P1.9</w:t>
            </w:r>
          </w:p>
        </w:tc>
      </w:tr>
      <w:tr>
        <w:trPr/>
        <w:tc>
          <w:tcPr>
            <w:tcW w:w="206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P1.12</w:t>
            </w:r>
          </w:p>
        </w:tc>
        <w:tc>
          <w:tcPr>
            <w:tcW w:w="374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Sustain freelance income at ₹40,000–70,000/month: ESG data analysis, carbon market modelling projects</w:t>
            </w:r>
          </w:p>
        </w:tc>
        <w:tc>
          <w:tcPr>
            <w:tcW w:w="249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 active Upwork clients; 15–20 hours/week maximum</w:t>
            </w:r>
          </w:p>
        </w:tc>
        <w:tc>
          <w:tcPr>
            <w:tcW w:w="13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Upwork profile</w:t>
            </w:r>
          </w:p>
        </w:tc>
      </w:tr>
    </w:tbl>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Phase 2 — Revenue (Months 8–16)</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Primary objective: Collect the first rupee. Convert at least two pilots to paying contracts. Make the product indispensable before the CCTS compliance deadline pressure peaks.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Gate condition to exit Phase 2: ₹30 lakh ARR from at least 5 paying facilities; SISFS grant received or first external funding secured; one co-founder or senior hire in place.</w:t>
      </w:r>
    </w:p>
    <w:tbl>
      <w:tblPr>
        <w:tblW w:w="9638" w:type="dxa"/>
        <w:jc w:val="left"/>
        <w:tblInd w:w="0" w:type="dxa"/>
        <w:tblLayout w:type="fixed"/>
        <w:tblCellMar>
          <w:top w:w="28" w:type="dxa"/>
          <w:left w:w="28" w:type="dxa"/>
          <w:bottom w:w="28" w:type="dxa"/>
          <w:right w:w="28" w:type="dxa"/>
        </w:tblCellMar>
      </w:tblPr>
      <w:tblGrid>
        <w:gridCol w:w="2038"/>
        <w:gridCol w:w="3808"/>
        <w:gridCol w:w="2489"/>
        <w:gridCol w:w="1303"/>
      </w:tblGrid>
      <w:tr>
        <w:trPr>
          <w:tblHeader w:val="true"/>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Step</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Action</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Output</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Depends on</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BUILD</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P2.1</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Launch Version 1.0: move from Streamlit to a proper web app with user authentication, multi-facility dashboard, and PDF report export</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Hosted web application at your domain; invoice-ready product</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P1.3, P1.5</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P2.2</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ARIMAX-based price trend module using IEX CCC price data (first 3–6 months of live market data)</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14-day forward CCC price range displayed on dashboard</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P1.6</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P2.3</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Tally Prime integration for mid-size OEs (most common ERP in Indian industry below ₹500 Cr revenue)</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Automated monthly data pull from client Tally instance</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P2.1</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P2.4</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Add CBAM module: calculate embedded carbon intensity per tonne of output in EU CBAM declaration format</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CBAM report export — targets Indian exporters to EU</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P2.1</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DATA</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P2.5</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With 6+ months of IEX data, run first GARCH(1,1) model on CCC price volatility — validate against actual outcomes</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published internal volatility report; share with clients as value-add</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P1.6 + 6 mo.</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P2.6</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proprietary GEI benchmark database — anonymised sector averages by BEE sub-sector, updated quarterly</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benchmark_db_v1 — your first data moat asset</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5+ clients active</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MARKET</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P2.7</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Convert top 2 pilots to paid contracts at ₹2–4 lakh per facility per year — use penalty probability as closing argument</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signed SaaS contracts; first revenue invoice raised</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P2.1, P1.5</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P2.8</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Acquire 3 more paying clients through referrals, LinkedIn inbound, and CII network</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5+ paying clients; ₹20–30 lakh ARR</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P2.7</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P2.9</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Pitch one Big 4 firm (EY or Deloitte India Climate practice) on white-label or referral partnership</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Partnership discussion initiated; not closed — just exploring</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P2.7</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MONEY</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P2.10</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Close SISFS grant or secure first angel cheque (₹25–50 lakh target) — use client contracts as proof</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Non-dilutive grant OR first equity round closed</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P1.11, P2.7</w:t>
            </w:r>
          </w:p>
        </w:tc>
      </w:tr>
      <w:tr>
        <w:trPr/>
        <w:tc>
          <w:tcPr>
            <w:tcW w:w="203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P2.11</w:t>
            </w:r>
          </w:p>
        </w:tc>
        <w:tc>
          <w:tcPr>
            <w:tcW w:w="380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Hire first team member: a front-end developer or sales associate (₹25,000–40,000/month) funded by revenue</w:t>
            </w:r>
          </w:p>
        </w:tc>
        <w:tc>
          <w:tcPr>
            <w:tcW w:w="24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employee onboarded; founder freed for sales and product strategy</w:t>
            </w:r>
          </w:p>
        </w:tc>
        <w:tc>
          <w:tcPr>
            <w:tcW w:w="130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P2.10</w:t>
            </w:r>
          </w:p>
        </w:tc>
      </w:tr>
    </w:tbl>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Phase 3 — Scale (Months 17–28)</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Primary objective: Build the moat. By this point you have proprietary data, regulatory embedding, and client contracts. The goal now is to make the switching cost so high that no competitor can easily displace you, then raise institutional capital.</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Gate condition to exit Phase 3 (i.e. Series A ready): ₹1–3 Cr ARR from 15+ facilities; GARCH-LSTM live on IEX data; at least one strategic partnership or regulatory recognition; co-founder or VP Sales hired.</w:t>
      </w:r>
    </w:p>
    <w:tbl>
      <w:tblPr>
        <w:tblW w:w="9638" w:type="dxa"/>
        <w:jc w:val="left"/>
        <w:tblInd w:w="0" w:type="dxa"/>
        <w:tblLayout w:type="fixed"/>
        <w:tblCellMar>
          <w:top w:w="28" w:type="dxa"/>
          <w:left w:w="28" w:type="dxa"/>
          <w:bottom w:w="28" w:type="dxa"/>
          <w:right w:w="28" w:type="dxa"/>
        </w:tblCellMar>
      </w:tblPr>
      <w:tblGrid>
        <w:gridCol w:w="1963"/>
        <w:gridCol w:w="3465"/>
        <w:gridCol w:w="2625"/>
        <w:gridCol w:w="1585"/>
      </w:tblGrid>
      <w:tr>
        <w:trPr>
          <w:tblHeader w:val="true"/>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Step</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Action</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Output</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Depends on</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BUILD</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P3.1</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Deploy full GARCH-LSTM-ARIMAX pricing engine on 12+ months of live IEX data</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Price forecast with confidence intervals live in dashboard</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P2.5 + 6 mo.</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P3.2</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Build CEMS integration layer for Tier 1 clients — MODBUS or OPC-UA gateway for real-time GEI tracking</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CEMS-connected facility; no manual data entry</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P3.1</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P3.3</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Launch trading desk module: recommended CCC buy/sell quantities, timing optimisation, IEX order suggestions</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CFO-facing hedging recommendation engine</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P3.1</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P3.4</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Expand CBAM module to full certificate generation workflow for steel and cement exporters</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CBAM-ready product for 8,000+ Indian EU exporters</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P2.4</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DATA</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P3.5</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License anonymised sector GEI benchmark data to research institutions and think tanks (WRI India, CEEW)</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Data licensing revenue stream; enhanced regulatory visibility</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P2.6</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P3.6</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Explore Vietnam/Indonesia ETS data partnerships — intensity-based markets following India's model</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international data contact; EM expansion scoping</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P3.1</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MARKET</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P3.7</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Close one strategic partnership: either a Big 4 firm referral arrangement or a financial institution carbon desk</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Signed partnership agreement; co-marketing initiated</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P2.9</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P3.8</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Hire VP Sales or co-founder with industrial sector relationships — compensate with equity</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Sales function separated from product; founder focuses on product and fundraising</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P2.10</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P3.9</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Submit comments on BEE's 2028 CCTS Phase 2 design consultation — establish regulatory presence</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Public comment submitted; cited in BEE consultation report</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P3.5</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WORKSTREAM: MONEY</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ind w:hanging="0" w:left="0" w:right="0"/>
              <w:jc w:val="left"/>
              <w:rPr>
                <w:sz w:val="4"/>
                <w:szCs w:val="4"/>
              </w:rPr>
            </w:pPr>
            <w:r>
              <w:rPr>
                <w:sz w:val="4"/>
                <w:szCs w:val="4"/>
              </w:rPr>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P3.10</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Raise ₹3–5 Cr seed from Omnivore, Avaana Capital, Blume Ventures, or Climake — pitch as India carbon market infrastructure</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Seed round closed; 18 months runway to Series A</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P2.10, 15+ clients</w:t>
            </w:r>
          </w:p>
        </w:tc>
      </w:tr>
      <w:tr>
        <w:trPr/>
        <w:tc>
          <w:tcPr>
            <w:tcW w:w="196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P3.11</w:t>
            </w:r>
          </w:p>
        </w:tc>
        <w:tc>
          <w:tcPr>
            <w:tcW w:w="346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Apply for DST National Mission on Strategic Knowledge for Climate Change grant (larger than SISFS, for established entities)</w:t>
            </w:r>
          </w:p>
        </w:tc>
        <w:tc>
          <w:tcPr>
            <w:tcW w:w="262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t>₹</w:t>
            </w:r>
            <w:r>
              <w:rPr>
                <w:rFonts w:ascii="Google Sans Text;sans-serif" w:hAnsi="Google Sans Text;sans-serif"/>
              </w:rPr>
              <w:t>50L–₹1 Cr research grant application submitted</w:t>
            </w:r>
          </w:p>
        </w:tc>
        <w:tc>
          <w:tcPr>
            <w:tcW w:w="158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DPIIT recognition + revenue</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4. Data Acquisition Strategy</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is the most important section of this document. Every other component of the plan — the model, the dashboard, the client pitch — depends on having the right data at the right time. The strategy is structured in three tiers: data you can access today for free, data you get from clients, and data you build over time as a proprietary asset.</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4.1 Tier 1 — Public Regulatory Data (Available Now, Free)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is your foundation. Every data point below is publicly accessible. You should have all of it downloaded, cleaned, and version-controlled within the first two weeks.</w:t>
      </w:r>
    </w:p>
    <w:tbl>
      <w:tblPr>
        <w:tblW w:w="14421" w:type="dxa"/>
        <w:jc w:val="left"/>
        <w:tblInd w:w="0" w:type="dxa"/>
        <w:tblLayout w:type="fixed"/>
        <w:tblCellMar>
          <w:top w:w="28" w:type="dxa"/>
          <w:left w:w="28" w:type="dxa"/>
          <w:bottom w:w="28" w:type="dxa"/>
          <w:right w:w="28" w:type="dxa"/>
        </w:tblCellMar>
      </w:tblPr>
      <w:tblGrid>
        <w:gridCol w:w="2323"/>
        <w:gridCol w:w="1616"/>
        <w:gridCol w:w="1900"/>
        <w:gridCol w:w="6628"/>
        <w:gridCol w:w="1954"/>
      </w:tblGrid>
      <w:tr>
        <w:trPr>
          <w:tblHeader w:val="true"/>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Source</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What you get</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Format</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How to access</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Used for</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BEE (bee.gov.in)</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GEI targets by sector and sub-sector; PAT cycle results; designated consumer lists; energy intensity norms</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PDF notifications + Excel</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Direct download from bee.gov.in/beecms/index.php</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GEI engine inputs; penalty threshold calculation</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CERC (cercind.gov.in)</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CCTS framework regulations; CCC price forbearance band; trading rules; IEX operating guidelines</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PDF gazette notifications</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cercind.gov.in/Regulation/regulations.html</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Regulatory parameter hard-coding</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MoEFCC (moef.gov.in)</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National Action Plan on Climate Change; sector emission benchmarks; verification methodology</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PDF reports</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moef.gov.in/publications.php</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Methodology validation; sector baselines</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CEA (cea.nic.in)</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State-wise grid emission factors (CO2 per kWh); annual CO2 baseline documents; plant-wise generation data</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Excel + PDF annual reports</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cea.nic.in/annual-growth-rate.html</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Scope 2 GEI calculation; electricity emission intensity</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CPCB (cpcb.nic.in)</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Annual environment statements; stack emission data; facility-level pollution returns for large industries</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PDF annual returns</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cpcb.nic.in/State-wise-Industries-Annual-Environment-Statement.php</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Cross-validation of facility emissions</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IEX (iexindia.com)</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Live CCC auction prices, volumes, clearing data once trading opens; historical power market data as proxy</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CSV download + API (post-launch)</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hyperlink r:id="rId2" w:tgtFrame="_blank">
              <w:r>
                <w:rPr>
                  <w:rStyle w:val="Hyperlink"/>
                  <w:rFonts w:ascii="Google Sans Text;sans-serif" w:hAnsi="Google Sans Text;sans-serif"/>
                </w:rPr>
                <w:t>iexindia.com/marketdata/carboncredit</w:t>
              </w:r>
            </w:hyperlink>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ARIMAX and GARCH price model training</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MCA21 (mca.gov.in)</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Annual reports of listed industrial companies; disclosed energy consumption and emissions data</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PDF annual reports</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mca.gov.in/content/mca/global/en/data-and-reports/company-financial-information.html</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Sector GEI benchmarking; demo scenario construction</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SEBI ESG disclosures</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BRSR mandatory disclosures for top 1000 listed companies — includes Scope 1 and 2 emissions since FY23</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PDF annual reports + structured data from NSE/BSE</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hyperlink r:id="rId3" w:tgtFrame="_blank">
              <w:r>
                <w:rPr>
                  <w:rStyle w:val="Hyperlink"/>
                  <w:rFonts w:ascii="Google Sans Text;sans-serif" w:hAnsi="Google Sans Text;sans-serif"/>
                </w:rPr>
                <w:t>nseindia.com/reports/business-sustainability-reporting</w:t>
              </w:r>
            </w:hyperlink>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Company-level GEI benchmarks for demo scenarios</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EU ETS (eur-lex.europa.eu)</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20 years of EU allowance prices, volatility regimes, price shocks — world's richest compliance carbon price dataset</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CSV from EU ETS registry; also via ICE/Bloomberg</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euets.sandbag.be/data or EU Open Data Portal</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Proxy training data for GARCH model before IEX has history</w:t>
            </w:r>
          </w:p>
        </w:tc>
      </w:tr>
      <w:tr>
        <w:trPr/>
        <w:tc>
          <w:tcPr>
            <w:tcW w:w="2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World Bank CCTD</w:t>
            </w:r>
          </w:p>
        </w:tc>
        <w:tc>
          <w:tcPr>
            <w:tcW w:w="161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Carbon Pricing Dashboard — all global ETS prices, volumes, coverage by country and sector</w:t>
            </w:r>
          </w:p>
        </w:tc>
        <w:tc>
          <w:tcPr>
            <w:tcW w:w="1900"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Online dashboard + downloadable CSV</w:t>
            </w:r>
          </w:p>
        </w:tc>
        <w:tc>
          <w:tcPr>
            <w:tcW w:w="662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carbonpricingdashboard.worldbank.org</w:t>
            </w:r>
          </w:p>
        </w:tc>
        <w:tc>
          <w:tcPr>
            <w:tcW w:w="195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International benchmarking; CBAM context</w:t>
            </w:r>
          </w:p>
        </w:tc>
      </w:tr>
    </w:tbl>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4.2 Tier 2 — Client-Provided Operational Data</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is the data that makes your model accurate for a specific facility. You cannot get it from public sources. You get it from clients in exchange for giving them your software for free during the pilot phase. The data you collect during pilots is more valuable than the pilot fee you forgo.</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What you need from each client:</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Monthly fuel consumption by fuel type (coal, natural gas, pet coke, furnace oil, biomass) — in tonnes or GJ</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Monthly production output — tonnes of product (clinker for cement, crude steel for steel, yarn for textiles)</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Monthly grid electricity purchased — in kWh or MWh, ideally with the DISCOM source state</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Existing CEMS data if available — even as PDF printouts or Excel exports from the CEMS operator</w:t>
      </w:r>
    </w:p>
    <w:p>
      <w:pPr>
        <w:pStyle w:val="BodyText"/>
        <w:numPr>
          <w:ilvl w:val="0"/>
          <w:numId w:val="1"/>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Historical PAT cycle records if the facility was covered under PAT Scheme I or II</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How to collect it without a CEMS integration:</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most common objection you will face is: "We cannot give you API access to our systems." The answer to this is: "You do not need to. Give me an Excel file once a month and I will do the rest."</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Your data intake strategy in Phase 0 and 1 is a single Excel template. It asks for six numbers per month. A compliance manager can fill it in 10 minutes. Your AI extraction layer reads whatever format they send — photo of a fuel invoice, CEMS PDF printout, or manually typed email. This is your moat against the ERP-integration-first competitors.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The AI extraction layer — how to build it: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Use Claude API (or any capable LLM) as a document parser. The prompt structure is:</w:t>
      </w:r>
    </w:p>
    <w:p>
      <w:pPr>
        <w:pStyle w:val="PreformattedText"/>
        <w:bidi w:val="0"/>
        <w:spacing w:lineRule="auto" w:line="273" w:before="0" w:after="0"/>
        <w:ind w:hanging="0" w:left="0" w:right="0"/>
        <w:jc w:val="left"/>
        <w:rPr/>
      </w:pPr>
      <w:r>
        <w:rPr>
          <w:rStyle w:val="SourceText"/>
          <w:rFonts w:ascii="Google Sans Text;sans-serif" w:hAnsi="Google Sans Text;sans-serif"/>
        </w:rPr>
        <w:t>You are a carbon accounting assistant. Extract the following fields from the attached document: [fuel_type, fuel_quantity_tonnes, electricity_units_kwh, production_output_tonnes, reporting_period]. Return JSON only. If a field is not found, return null.</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approach handles: fuel purchase invoices in any format, CEMS summary reports, PAT compliance filings, energy audit reports, and manually typed emails. It costs approximately ₹0.15 per document parsed at current API rates.</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Data confidentiality and client trust:</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Every client you approach will ask: "What do you do with our data?" You need a clear, written answer from Day 1. Use these four principles:</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Individual facility data is never shared with any third party under any circumstances.</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Anonymised, aggregated sector benchmarks may be published (e.g. 'average GEI for cement sector in Rajasthan') — clients consent to this in the pilot agreement.</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All data is stored in encrypted cloud storage (AWS S3 or GCP with AES-256 encryption).</w:t>
      </w:r>
    </w:p>
    <w:p>
      <w:pPr>
        <w:pStyle w:val="BodyText"/>
        <w:numPr>
          <w:ilvl w:val="0"/>
          <w:numId w:val="2"/>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rPr>
        <w:t>Clients retain ownership of their raw data and can request deletion at any time.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4.3 Tier 3 — Proprietary Data Assets (Built Over Time)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This is where your long-term competitive advantage lives. By Month 12, if you have 5+ clients sending monthly data, you will own something no competitor can replicate quickly: a live, structured dataset of Indian industrial GEI trajectories.</w:t>
      </w:r>
    </w:p>
    <w:tbl>
      <w:tblPr>
        <w:tblW w:w="9638" w:type="dxa"/>
        <w:jc w:val="left"/>
        <w:tblInd w:w="0" w:type="dxa"/>
        <w:tblLayout w:type="fixed"/>
        <w:tblCellMar>
          <w:top w:w="28" w:type="dxa"/>
          <w:left w:w="28" w:type="dxa"/>
          <w:bottom w:w="28" w:type="dxa"/>
          <w:right w:w="28" w:type="dxa"/>
        </w:tblCellMar>
      </w:tblPr>
      <w:tblGrid>
        <w:gridCol w:w="2033"/>
        <w:gridCol w:w="3419"/>
        <w:gridCol w:w="4186"/>
      </w:tblGrid>
      <w:tr>
        <w:trPr>
          <w:tblHeader w:val="true"/>
        </w:trPr>
        <w:tc>
          <w:tcPr>
            <w:tcW w:w="203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Asset</w:t>
            </w:r>
          </w:p>
        </w:tc>
        <w:tc>
          <w:tcPr>
            <w:tcW w:w="341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What it contains</w:t>
            </w:r>
          </w:p>
        </w:tc>
        <w:tc>
          <w:tcPr>
            <w:tcW w:w="418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Strategic value</w:t>
            </w:r>
          </w:p>
        </w:tc>
      </w:tr>
      <w:tr>
        <w:trPr/>
        <w:tc>
          <w:tcPr>
            <w:tcW w:w="203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IEX CCC price series</w:t>
            </w:r>
          </w:p>
        </w:tc>
        <w:tc>
          <w:tcPr>
            <w:tcW w:w="341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Every CCC auction price, volume, bid-ask spread from IEX from Day 1 of trading</w:t>
            </w:r>
          </w:p>
        </w:tc>
        <w:tc>
          <w:tcPr>
            <w:tcW w:w="418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12 months trains your GARCH model. After 24 months it is the richest Indian carbon price dataset in existence.</w:t>
            </w:r>
          </w:p>
        </w:tc>
      </w:tr>
      <w:tr>
        <w:trPr/>
        <w:tc>
          <w:tcPr>
            <w:tcW w:w="203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Client GEI time series</w:t>
            </w:r>
          </w:p>
        </w:tc>
        <w:tc>
          <w:tcPr>
            <w:tcW w:w="341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Monthly GEI values per facility across sectors — actual operational data, not estimated</w:t>
            </w:r>
          </w:p>
        </w:tc>
        <w:tc>
          <w:tcPr>
            <w:tcW w:w="418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Enables sector-specific ARIMAX models. Also a liability if breached — protect obsessively.</w:t>
            </w:r>
          </w:p>
        </w:tc>
      </w:tr>
      <w:tr>
        <w:trPr/>
        <w:tc>
          <w:tcPr>
            <w:tcW w:w="203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Sector GEI benchmark database</w:t>
            </w:r>
          </w:p>
        </w:tc>
        <w:tc>
          <w:tcPr>
            <w:tcW w:w="341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Anonymised sector averages, percentile distributions, trend lines — updated quarterly</w:t>
            </w:r>
          </w:p>
        </w:tc>
        <w:tc>
          <w:tcPr>
            <w:tcW w:w="418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Publishable as research; licensable to think tanks; creates regulatory credibility; strengthens sales pitch.</w:t>
            </w:r>
          </w:p>
        </w:tc>
      </w:tr>
      <w:tr>
        <w:trPr/>
        <w:tc>
          <w:tcPr>
            <w:tcW w:w="203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CBAM embedded carbon profiles</w:t>
            </w:r>
          </w:p>
        </w:tc>
        <w:tc>
          <w:tcPr>
            <w:tcW w:w="341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Product-level carbon intensity per tonne of steel/cement/aluminium from Indian facilities</w:t>
            </w:r>
          </w:p>
        </w:tc>
        <w:tc>
          <w:tcPr>
            <w:tcW w:w="4186"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Directly required for EU CBAM declaration filings. No other Indian software provider will have this at facility level.</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5. Data Integration Architecture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integration architecture follows a three-tier progression. The critical insight is that you must launch with Tier 1 (manual) and prove value before any client will grant you Tier 2 or Tier 3 access. Do not wait for API integration before going to market.</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5.1 Tier 1 — Manual Input (Months 0–4, MVP)</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How it works: Client compliance manager fills a pre-formatted Excel template once per month and emails it to you (or uploads to a simple web form). Your Python script processes it, updates the GEI calculation, and refreshes the dashboard.</w:t>
      </w:r>
    </w:p>
    <w:tbl>
      <w:tblPr>
        <w:tblW w:w="9638" w:type="dxa"/>
        <w:jc w:val="left"/>
        <w:tblInd w:w="0" w:type="dxa"/>
        <w:tblLayout w:type="fixed"/>
        <w:tblCellMar>
          <w:top w:w="28" w:type="dxa"/>
          <w:left w:w="28" w:type="dxa"/>
          <w:bottom w:w="28" w:type="dxa"/>
          <w:right w:w="28" w:type="dxa"/>
        </w:tblCellMar>
      </w:tblPr>
      <w:tblGrid>
        <w:gridCol w:w="1523"/>
        <w:gridCol w:w="6792"/>
        <w:gridCol w:w="1323"/>
      </w:tblGrid>
      <w:tr>
        <w:trPr>
          <w:tblHeader w:val="true"/>
        </w:trPr>
        <w:tc>
          <w:tcPr>
            <w:tcW w:w="15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Component</w:t>
            </w:r>
          </w:p>
        </w:tc>
        <w:tc>
          <w:tcPr>
            <w:tcW w:w="67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Specification</w:t>
            </w:r>
          </w:p>
        </w:tc>
        <w:tc>
          <w:tcPr>
            <w:tcW w:w="1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Time to build</w:t>
            </w:r>
          </w:p>
        </w:tc>
      </w:tr>
      <w:tr>
        <w:trPr/>
        <w:tc>
          <w:tcPr>
            <w:tcW w:w="15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Data intake</w:t>
            </w:r>
          </w:p>
        </w:tc>
        <w:tc>
          <w:tcPr>
            <w:tcW w:w="67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Excel template with 6 monthly fields + AI document parsing fallback</w:t>
            </w:r>
          </w:p>
        </w:tc>
        <w:tc>
          <w:tcPr>
            <w:tcW w:w="1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3 days</w:t>
            </w:r>
          </w:p>
        </w:tc>
      </w:tr>
      <w:tr>
        <w:trPr/>
        <w:tc>
          <w:tcPr>
            <w:tcW w:w="15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Processing</w:t>
            </w:r>
          </w:p>
        </w:tc>
        <w:tc>
          <w:tcPr>
            <w:tcW w:w="67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Python script: read Excel → calculate GEI → compare to BEE target → compute surplus/deficit</w:t>
            </w:r>
          </w:p>
        </w:tc>
        <w:tc>
          <w:tcPr>
            <w:tcW w:w="1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 week</w:t>
            </w:r>
          </w:p>
        </w:tc>
      </w:tr>
      <w:tr>
        <w:trPr/>
        <w:tc>
          <w:tcPr>
            <w:tcW w:w="15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Storage</w:t>
            </w:r>
          </w:p>
        </w:tc>
        <w:tc>
          <w:tcPr>
            <w:tcW w:w="67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CSV files in encrypted GCP Cloud Storage, one folder per facility</w:t>
            </w:r>
          </w:p>
        </w:tc>
        <w:tc>
          <w:tcPr>
            <w:tcW w:w="1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 days</w:t>
            </w:r>
          </w:p>
        </w:tc>
      </w:tr>
      <w:tr>
        <w:trPr/>
        <w:tc>
          <w:tcPr>
            <w:tcW w:w="15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Dashboard</w:t>
            </w:r>
          </w:p>
        </w:tc>
        <w:tc>
          <w:tcPr>
            <w:tcW w:w="679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Streamlit app reading from GCP Storage, refreshing on upload</w:t>
            </w:r>
          </w:p>
        </w:tc>
        <w:tc>
          <w:tcPr>
            <w:tcW w:w="132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 week</w:t>
            </w:r>
          </w:p>
        </w:tc>
      </w:tr>
    </w:tbl>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Total build time for Tier 1 integration: 3 weeks from a standing start. This is your entire MVP. Do not complicate it further until you have paying clients.</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5.2 Tier 2 — Semi-Automated Integration (Months 5–12)</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Unlocked after pilots confirm willingness to pay. Built using revenue from first clients. Targets the two most common ERP systems in Indian mid-market industry.</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Tally Prime connector:</w:t>
      </w:r>
      <w:r>
        <w:rPr>
          <w:rFonts w:ascii="Google Sans Text;sans-serif" w:hAnsi="Google Sans Text;sans-serif"/>
        </w:rPr>
        <w:t xml:space="preserve"> Tally has a well-documented XML/HTTP API (TallyPrime Developer Reference). You build a Python script that queries the client's local Tally installation over their LAN, extracts fuel purchase ledger entries and production entries, and sends the structured data to your cloud. Tally is used by ~70% of Indian SME-to-mid-market companies. This single integration reaches the majority of your target clients.</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SAP connector (for large OEs):</w:t>
      </w:r>
      <w:r>
        <w:rPr>
          <w:rFonts w:ascii="Google Sans Text;sans-serif" w:hAnsi="Google Sans Text;sans-serif"/>
        </w:rPr>
        <w:t xml:space="preserve"> SAP Business One and S/4HANA expose OData APIs. Build a connector that reads purchase orders (fuel), goods issue (consumption), and production order completion. This is technically harder but required for Tata, JSW, UltraTech-scale clients. Budget 4–6 weeks of engineering.</w:t>
      </w:r>
    </w:p>
    <w:p>
      <w:pPr>
        <w:pStyle w:val="BodyText"/>
        <w:numPr>
          <w:ilvl w:val="0"/>
          <w:numId w:val="3"/>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BEE portal scraper:</w:t>
      </w:r>
      <w:r>
        <w:rPr>
          <w:rFonts w:ascii="Google Sans Text;sans-serif" w:hAnsi="Google Sans Text;sans-serif"/>
        </w:rPr>
        <w:t xml:space="preserve"> BEE's online PAT compliance portal (perform.gov.in) does not have a public API. Build a lightweight Python scraper using Selenium or Playwright to automatically pull the client's PAT baseline and current cycle data. Run it quarterly.</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5.3 Tier 3 — Full Automation (Month 12+, funded by revenue)</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Real-time CEMS data integration. This is only required for your largest, most sophisticated clients. Do not build it until a client asks for it and is willing to pay a premium for it.</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MODBUS gateway:</w:t>
      </w:r>
      <w:r>
        <w:rPr>
          <w:rFonts w:ascii="Google Sans Text;sans-serif" w:hAnsi="Google Sans Text;sans-serif"/>
        </w:rPr>
        <w:t xml:space="preserve"> Most Indian industrial CEMS hardware (stack gas analysers, flow meters) communicate over MODBUS TCP/RTU. You build a gateway application that runs on a small server at the client facility, polls MODBUS registers at 15-minute intervals, and sends aggregated data to your cloud via HTTPS.</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OPC-UA connector:</w:t>
      </w:r>
      <w:r>
        <w:rPr>
          <w:rFonts w:ascii="Google Sans Text;sans-serif" w:hAnsi="Google Sans Text;sans-serif"/>
        </w:rPr>
        <w:t xml:space="preserve"> More modern CEMS installations use OPC-UA (IEC 62541). Build an OPC-UA client that connects to the facility's OPC server. Open source libraries exist for Python (opcua-asyncio).</w:t>
      </w:r>
    </w:p>
    <w:p>
      <w:pPr>
        <w:pStyle w:val="BodyText"/>
        <w:numPr>
          <w:ilvl w:val="0"/>
          <w:numId w:val="4"/>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What this unlocks:</w:t>
      </w:r>
      <w:r>
        <w:rPr>
          <w:rFonts w:ascii="Google Sans Text;sans-serif" w:hAnsi="Google Sans Text;sans-serif"/>
        </w:rPr>
        <w:t xml:space="preserve"> Real-time GEI tracking. Intraday compliance alerts. Automated CCC purchase triggers when GEI approaches threshold. This is the 'always-on CFO risk officer' product described in your original dossier.</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6. Risk Register</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risks below are ranked by expected impact on your timeline and capital. Each has a documented mitigation strategy. Review this register at the end of every phase.</w:t>
      </w:r>
    </w:p>
    <w:tbl>
      <w:tblPr>
        <w:tblW w:w="9638" w:type="dxa"/>
        <w:jc w:val="left"/>
        <w:tblInd w:w="0" w:type="dxa"/>
        <w:tblLayout w:type="fixed"/>
        <w:tblCellMar>
          <w:top w:w="28" w:type="dxa"/>
          <w:left w:w="28" w:type="dxa"/>
          <w:bottom w:w="28" w:type="dxa"/>
          <w:right w:w="28" w:type="dxa"/>
        </w:tblCellMar>
      </w:tblPr>
      <w:tblGrid>
        <w:gridCol w:w="417"/>
        <w:gridCol w:w="2689"/>
        <w:gridCol w:w="1139"/>
        <w:gridCol w:w="1041"/>
        <w:gridCol w:w="4352"/>
      </w:tblGrid>
      <w:tr>
        <w:trPr>
          <w:tblHeader w:val="true"/>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ID</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Risk</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Prob.</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Impact</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Mitigation</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R1</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IEX carbon trading delayed beyond Q4 2026 — CFOs enter 'wait and watch' mode</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Medium</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High</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Compliance tracking and penalty avoidance do not require trading to be live. Sell the Watchdog module only. Do not position the pricing engine until trading opens.</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R2</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Tally/SAP integration takes 3× longer than estimated — delays Tier 2 launch</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High</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Medium</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Never let integration be a prerequisite to go live. Launch with CSV/manual intake first. Add integrations only when a client pays extra for them.</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R3</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Big 4 firm (EY/Deloitte India) launches a CCTS compliance product within 12 months</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Medium</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High</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They will serve top 50 OEs at ₹50L+ per engagement. You serve mid-size OEs at ₹2–5L — a segment Big 4 cannot reach profitably. Sharpen this positioning immediately if R3 materialises.</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R4</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Cash runs out before first revenue — freelance income insufficient</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Medium</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Critical</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Trigger point: if freelance income drops below ₹30,000/month for two consecutive months, apply immediately for MUDRA Shishu loan (₹10L, no collateral) as emergency bridge.</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R5</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Solo founder burnout — building, selling, and surviving simultaneously</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High</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Critical</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Set a hard rule: no more than 50 hours of work per week. Prioritise sleep. The company dies if you do. Schedule one full day off every week from Month 1.</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R6</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GEI model produces inaccurate predictions — client loses trust</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Low-Med</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High</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 Year 1, never present predictions as certainties. Frame everything as 'probability ranges under stated assumptions.' Publish your methodology openly. Clients respect honesty about model limitations.</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R7</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A Tata or Wipro internal team builds a CCTS module for their own group companies</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Low</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Medium</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Captive tools serve their group only. The 490 OEs outside Tata/Wipro's ecosystem remain your market. Monitor announcements quarterly.</w:t>
            </w:r>
          </w:p>
        </w:tc>
      </w:tr>
      <w:tr>
        <w:trPr/>
        <w:tc>
          <w:tcPr>
            <w:tcW w:w="417"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R8</w:t>
            </w:r>
          </w:p>
        </w:tc>
        <w:tc>
          <w:tcPr>
            <w:tcW w:w="268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CCTS target tightening delayed beyond 2028 — reduces urgency for clients</w:t>
            </w:r>
          </w:p>
        </w:tc>
        <w:tc>
          <w:tcPr>
            <w:tcW w:w="113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Low</w:t>
            </w:r>
          </w:p>
        </w:tc>
        <w:tc>
          <w:tcPr>
            <w:tcW w:w="104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Medium</w:t>
            </w:r>
          </w:p>
        </w:tc>
        <w:tc>
          <w:tcPr>
            <w:tcW w:w="435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compliance deadline is fixed regardless of future tightening. Penalty risk is real from the first cycle. Sell on immediate penalty avoidance, not on future policy risk.</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7. Financial Projections and Milestones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These projections assume conservative pricing, 30% month-on-month client acquisition growth after the first paying client, and no external funding until Phase 3. All figures in Indian Rupees.</w:t>
      </w:r>
    </w:p>
    <w:tbl>
      <w:tblPr>
        <w:tblW w:w="9638" w:type="dxa"/>
        <w:jc w:val="left"/>
        <w:tblInd w:w="0" w:type="dxa"/>
        <w:tblLayout w:type="fixed"/>
        <w:tblCellMar>
          <w:top w:w="28" w:type="dxa"/>
          <w:left w:w="28" w:type="dxa"/>
          <w:bottom w:w="28" w:type="dxa"/>
          <w:right w:w="28" w:type="dxa"/>
        </w:tblCellMar>
      </w:tblPr>
      <w:tblGrid>
        <w:gridCol w:w="1511"/>
        <w:gridCol w:w="1953"/>
        <w:gridCol w:w="1535"/>
        <w:gridCol w:w="1298"/>
        <w:gridCol w:w="1653"/>
        <w:gridCol w:w="1688"/>
      </w:tblGrid>
      <w:tr>
        <w:trPr>
          <w:tblHeader w:val="true"/>
        </w:trPr>
        <w:tc>
          <w:tcPr>
            <w:tcW w:w="15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Metric</w:t>
            </w:r>
          </w:p>
        </w:tc>
        <w:tc>
          <w:tcPr>
            <w:tcW w:w="19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Month 3</w:t>
            </w:r>
          </w:p>
        </w:tc>
        <w:tc>
          <w:tcPr>
            <w:tcW w:w="153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Month 6</w:t>
            </w:r>
          </w:p>
        </w:tc>
        <w:tc>
          <w:tcPr>
            <w:tcW w:w="12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Month 12</w:t>
            </w:r>
          </w:p>
        </w:tc>
        <w:tc>
          <w:tcPr>
            <w:tcW w:w="16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Month 18</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Month 28</w:t>
            </w:r>
          </w:p>
        </w:tc>
      </w:tr>
      <w:tr>
        <w:trPr/>
        <w:tc>
          <w:tcPr>
            <w:tcW w:w="15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Paying clients</w:t>
            </w:r>
          </w:p>
        </w:tc>
        <w:tc>
          <w:tcPr>
            <w:tcW w:w="19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0 (pilots)</w:t>
            </w:r>
          </w:p>
        </w:tc>
        <w:tc>
          <w:tcPr>
            <w:tcW w:w="153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2–3</w:t>
            </w:r>
          </w:p>
        </w:tc>
        <w:tc>
          <w:tcPr>
            <w:tcW w:w="12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5–8</w:t>
            </w:r>
          </w:p>
        </w:tc>
        <w:tc>
          <w:tcPr>
            <w:tcW w:w="16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12–15</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20–30</w:t>
            </w:r>
          </w:p>
        </w:tc>
      </w:tr>
      <w:tr>
        <w:trPr/>
        <w:tc>
          <w:tcPr>
            <w:tcW w:w="15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ARR (₹)</w:t>
            </w:r>
          </w:p>
        </w:tc>
        <w:tc>
          <w:tcPr>
            <w:tcW w:w="19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pPr>
            <w:r>
              <w:rPr/>
              <w:t>—</w:t>
            </w:r>
          </w:p>
        </w:tc>
        <w:tc>
          <w:tcPr>
            <w:tcW w:w="153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8–15L</w:t>
            </w:r>
          </w:p>
        </w:tc>
        <w:tc>
          <w:tcPr>
            <w:tcW w:w="12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30–50L</w:t>
            </w:r>
          </w:p>
        </w:tc>
        <w:tc>
          <w:tcPr>
            <w:tcW w:w="16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60L–1Cr</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1.5–3Cr</w:t>
            </w:r>
          </w:p>
        </w:tc>
      </w:tr>
      <w:tr>
        <w:trPr/>
        <w:tc>
          <w:tcPr>
            <w:tcW w:w="15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Monthly burn (₹)</w:t>
            </w:r>
          </w:p>
        </w:tc>
        <w:tc>
          <w:tcPr>
            <w:tcW w:w="19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15–25K</w:t>
            </w:r>
          </w:p>
        </w:tc>
        <w:tc>
          <w:tcPr>
            <w:tcW w:w="153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25–40K</w:t>
            </w:r>
          </w:p>
        </w:tc>
        <w:tc>
          <w:tcPr>
            <w:tcW w:w="12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60–80K</w:t>
            </w:r>
          </w:p>
        </w:tc>
        <w:tc>
          <w:tcPr>
            <w:tcW w:w="16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1.5–2L</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4–6L</w:t>
            </w:r>
          </w:p>
        </w:tc>
      </w:tr>
      <w:tr>
        <w:trPr/>
        <w:tc>
          <w:tcPr>
            <w:tcW w:w="15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Income source</w:t>
            </w:r>
          </w:p>
        </w:tc>
        <w:tc>
          <w:tcPr>
            <w:tcW w:w="19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Yuva Nidhi + freelance</w:t>
            </w:r>
          </w:p>
        </w:tc>
        <w:tc>
          <w:tcPr>
            <w:tcW w:w="153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Freelance + SISFS</w:t>
            </w:r>
          </w:p>
        </w:tc>
        <w:tc>
          <w:tcPr>
            <w:tcW w:w="12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Product revenue</w:t>
            </w:r>
          </w:p>
        </w:tc>
        <w:tc>
          <w:tcPr>
            <w:tcW w:w="16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Revenue + grant</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Revenue + seed round</w:t>
            </w:r>
          </w:p>
        </w:tc>
      </w:tr>
      <w:tr>
        <w:trPr/>
        <w:tc>
          <w:tcPr>
            <w:tcW w:w="151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Key milestone</w:t>
            </w:r>
          </w:p>
        </w:tc>
        <w:tc>
          <w:tcPr>
            <w:tcW w:w="19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Demo live; SSRN paper published</w:t>
            </w:r>
          </w:p>
        </w:tc>
        <w:tc>
          <w:tcPr>
            <w:tcW w:w="153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pilot data flowing</w:t>
            </w:r>
          </w:p>
        </w:tc>
        <w:tc>
          <w:tcPr>
            <w:tcW w:w="129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First paid contract</w:t>
            </w:r>
          </w:p>
        </w:tc>
        <w:tc>
          <w:tcPr>
            <w:tcW w:w="165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GARCH model on live IEX data</w:t>
            </w:r>
          </w:p>
        </w:tc>
        <w:tc>
          <w:tcPr>
            <w:tcW w:w="168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Series A fundraise initiated</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8. Competitive Intelligence — What to Watch and What to Steal</w:t>
      </w:r>
    </w:p>
    <w:tbl>
      <w:tblPr>
        <w:tblW w:w="9638" w:type="dxa"/>
        <w:jc w:val="left"/>
        <w:tblInd w:w="0" w:type="dxa"/>
        <w:tblLayout w:type="fixed"/>
        <w:tblCellMar>
          <w:top w:w="28" w:type="dxa"/>
          <w:left w:w="28" w:type="dxa"/>
          <w:bottom w:w="28" w:type="dxa"/>
          <w:right w:w="28" w:type="dxa"/>
        </w:tblCellMar>
      </w:tblPr>
      <w:tblGrid>
        <w:gridCol w:w="1962"/>
        <w:gridCol w:w="1934"/>
        <w:gridCol w:w="1783"/>
        <w:gridCol w:w="3959"/>
      </w:tblGrid>
      <w:tr>
        <w:trPr>
          <w:tblHeader w:val="true"/>
        </w:trPr>
        <w:tc>
          <w:tcPr>
            <w:tcW w:w="196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Competitor</w:t>
            </w:r>
          </w:p>
        </w:tc>
        <w:tc>
          <w:tcPr>
            <w:tcW w:w="193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Their strength</w:t>
            </w:r>
          </w:p>
        </w:tc>
        <w:tc>
          <w:tcPr>
            <w:tcW w:w="178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Their gap</w:t>
            </w:r>
          </w:p>
        </w:tc>
        <w:tc>
          <w:tcPr>
            <w:tcW w:w="395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What to steal from them</w:t>
            </w:r>
          </w:p>
        </w:tc>
      </w:tr>
      <w:tr>
        <w:trPr/>
        <w:tc>
          <w:tcPr>
            <w:tcW w:w="196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Persefoni / Watershed</w:t>
            </w:r>
          </w:p>
        </w:tc>
        <w:tc>
          <w:tcPr>
            <w:tcW w:w="193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Beautiful UX, CFO framing, US/EU enterprise penetration</w:t>
            </w:r>
          </w:p>
        </w:tc>
        <w:tc>
          <w:tcPr>
            <w:tcW w:w="178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Zero India CCTS localisation; no stochastic pricing; no CBAM integration</w:t>
            </w:r>
          </w:p>
        </w:tc>
        <w:tc>
          <w:tcPr>
            <w:tcW w:w="395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Their entire product positioning — carbon as financial liability, not ESG metric. Copy their dashboard language, their help documentation style, and their onboarding flow.</w:t>
            </w:r>
          </w:p>
        </w:tc>
      </w:tr>
      <w:tr>
        <w:trPr/>
        <w:tc>
          <w:tcPr>
            <w:tcW w:w="196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Watershed Open CEDA</w:t>
            </w:r>
          </w:p>
        </w:tc>
        <w:tc>
          <w:tcPr>
            <w:tcW w:w="193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Free global emissions database — 148 countries, 400 industries</w:t>
            </w:r>
          </w:p>
        </w:tc>
        <w:tc>
          <w:tcPr>
            <w:tcW w:w="178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Not built for Indian CCTS compliance; no IEX price integration</w:t>
            </w:r>
          </w:p>
        </w:tc>
        <w:tc>
          <w:tcPr>
            <w:tcW w:w="395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Their free-tool-as-lead-generation strategy. Build a free 'India CCTS Sector Tracker' public web page showing sector GEI targets vs current estimates. Pure inbound lead generation.</w:t>
            </w:r>
          </w:p>
        </w:tc>
      </w:tr>
      <w:tr>
        <w:trPr/>
        <w:tc>
          <w:tcPr>
            <w:tcW w:w="196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Sweep / Plan A (EU)</w:t>
            </w:r>
          </w:p>
        </w:tc>
        <w:tc>
          <w:tcPr>
            <w:tcW w:w="193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Sector-specific templates; strong EU CSRD compliance embedding</w:t>
            </w:r>
          </w:p>
        </w:tc>
        <w:tc>
          <w:tcPr>
            <w:tcW w:w="178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100% EU/European focus; no quantitative trading engine</w:t>
            </w:r>
          </w:p>
        </w:tc>
        <w:tc>
          <w:tcPr>
            <w:tcW w:w="395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Their sector-first go-to-market approach. Do not build a generic platform. Build 'Carbon Risk Engine for Indian Cement' first, then 'for Steel', then 'for Textiles.' Each gets its own sector module.</w:t>
            </w:r>
          </w:p>
        </w:tc>
      </w:tr>
      <w:tr>
        <w:trPr/>
        <w:tc>
          <w:tcPr>
            <w:tcW w:w="196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EY / Deloitte India</w:t>
            </w:r>
          </w:p>
        </w:tc>
        <w:tc>
          <w:tcPr>
            <w:tcW w:w="193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Existing CFO relationships; regulatory credibility; full-service bundling</w:t>
            </w:r>
          </w:p>
        </w:tc>
        <w:tc>
          <w:tcPr>
            <w:tcW w:w="178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 software — PDFs only; ₹2–5 Cr per project; 6-month delivery cycle</w:t>
            </w:r>
          </w:p>
        </w:tc>
        <w:tc>
          <w:tcPr>
            <w:tcW w:w="395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Partner with mid-tier CA firms and boutique sustainability consultancies who want to deliver CCTS work but lack the tool. Make them resellers. They bring the relationship; you bring the engine.</w:t>
            </w:r>
          </w:p>
        </w:tc>
      </w:tr>
      <w:tr>
        <w:trPr/>
        <w:tc>
          <w:tcPr>
            <w:tcW w:w="196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Sentra World / CarbonMinus (India)</w:t>
            </w:r>
          </w:p>
        </w:tc>
        <w:tc>
          <w:tcPr>
            <w:tcW w:w="1934"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India-native; early CCTS positioning; compliance tracking functionality</w:t>
            </w:r>
          </w:p>
        </w:tc>
        <w:tc>
          <w:tcPr>
            <w:tcW w:w="1783"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No quantitative pricing engine; no Monte Carlo; no GARCH; no CBAM; no CFO-facing risk dashboard</w:t>
            </w:r>
          </w:p>
        </w:tc>
        <w:tc>
          <w:tcPr>
            <w:tcW w:w="3959"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Study their pricing pages and client testimonials obsessively. What language do their clients use? What problems do they describe? What features do they praise? This is your customer discovery in public.</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9. International Scope and Expansion Logic</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international opportunity follows a three-ring expansion model. You must own Ring 1 before touching Ring 2, and Ring 2 before Ring 3. Premature international expansion with an unproven domestic product is one of the most common ways early-stage B2B startups die.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Ring 1 — India CCTS (Years 1–3)</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490 obligated entities today, growing to 740+ as iron and steel are added in Phase 2 of CCTS expansion. Target addressable market at ₹2–5L per facility: ₹100–370 Cr ARR at full penetration. Realistic capture in 3 years: ₹3–8 Cr ARR with 50–80 facilities.</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Ring 2 — CBAM Bridge (Years 2–4)</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EU's Carbon Border Adjustment Mechanism became fully operational in January 2026. The first full compliance declaration is due September 2027. Indian exporters of steel, cement, aluminium, fertilisers, and hydrogen to the EU must calculate and declare the embedded carbon in their products.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Your GEI engine already calculates facility-level carbon intensity — the exact input CBAM requires. Adding a CBAM module means: (a) mapping your GEI output to the EU's CBAM certificate format, and (b) building an EU CBAM registry upload function. This doubles your addressable market from 490 obligated CCTS entities to 8,000+ Indian EU exporters in CBAM sectors.</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The CBAM bridge is the most important international opportunity and requires no new market entry. Your existing clients — Indian steel, cement, and aluminium manufacturers — are also CBAM-obligated if they export to Europe. One product, two compliance obligations, one additional module.</w:t>
      </w:r>
    </w:p>
    <w:p>
      <w:pPr>
        <w:pStyle w:val="Heading3"/>
        <w:bidi w:val="0"/>
        <w:spacing w:lineRule="auto" w:line="273" w:before="0" w:after="140"/>
        <w:ind w:hanging="0" w:left="0" w:right="0"/>
        <w:jc w:val="left"/>
        <w:rPr>
          <w:rFonts w:ascii="Google Sans;sans-serif" w:hAnsi="Google Sans;sans-serif"/>
        </w:rPr>
      </w:pPr>
      <w:r>
        <w:rPr>
          <w:rFonts w:ascii="Google Sans;sans-serif" w:hAnsi="Google Sans;sans-serif"/>
        </w:rPr>
        <w:t>Ring 3 — Emerging Market Replication (Years 4–7)</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Vietnam, Indonesia, Malaysia, and Bangladesh are all implementing intensity-based ETS frameworks that structurally resemble India's CCTS. Your entire model architecture — intensity-based GEI formula, MACC-based price discovery, penalty probability engine — is replicable in any intensity-based ETS with localised regulatory parameters.</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expansion strategy for Ring 3 is not direct market entry. It is licensing the platform to a local partner in each country who handles regulatory relationships and sales, while you provide the quantitative engine and cloud infrastructure. This is the Bloomberg Terminal model: one core data engine, many local distribution partners.</w:t>
      </w:r>
    </w:p>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10. Content and Credibility Strategy</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LinkedIn is your entire marketing budget for the first 12 months. These are the topics that will perform with CFOs, compliance heads, and the climate finance ecosystem. Post one substantive article per week — 600–1,000 words, no fluff.</w:t>
      </w:r>
    </w:p>
    <w:p>
      <w:pPr>
        <w:pStyle w:val="BodyText"/>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Post topics by month</w:t>
      </w:r>
    </w:p>
    <w:tbl>
      <w:tblPr>
        <w:tblW w:w="9638" w:type="dxa"/>
        <w:jc w:val="left"/>
        <w:tblInd w:w="0" w:type="dxa"/>
        <w:tblLayout w:type="fixed"/>
        <w:tblCellMar>
          <w:top w:w="28" w:type="dxa"/>
          <w:left w:w="28" w:type="dxa"/>
          <w:bottom w:w="28" w:type="dxa"/>
          <w:right w:w="28" w:type="dxa"/>
        </w:tblCellMar>
      </w:tblPr>
      <w:tblGrid>
        <w:gridCol w:w="915"/>
        <w:gridCol w:w="3781"/>
        <w:gridCol w:w="4942"/>
      </w:tblGrid>
      <w:tr>
        <w:trPr>
          <w:tblHeader w:val="true"/>
        </w:trPr>
        <w:tc>
          <w:tcPr>
            <w:tcW w:w="91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Month</w:t>
            </w:r>
          </w:p>
        </w:tc>
        <w:tc>
          <w:tcPr>
            <w:tcW w:w="378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Topic</w:t>
            </w:r>
          </w:p>
        </w:tc>
        <w:tc>
          <w:tcPr>
            <w:tcW w:w="494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0"/>
              <w:ind w:hanging="0" w:left="0" w:right="0"/>
              <w:jc w:val="left"/>
              <w:rPr/>
            </w:pPr>
            <w:r>
              <w:rPr>
                <w:rStyle w:val="Strong"/>
                <w:rFonts w:ascii="Google Sans Text;sans-serif" w:hAnsi="Google Sans Text;sans-serif"/>
              </w:rPr>
              <w:t>Why it works</w:t>
            </w:r>
          </w:p>
        </w:tc>
      </w:tr>
      <w:tr>
        <w:trPr/>
        <w:tc>
          <w:tcPr>
            <w:tcW w:w="91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1</w:t>
            </w:r>
          </w:p>
        </w:tc>
        <w:tc>
          <w:tcPr>
            <w:tcW w:w="378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What CCTS means for your P&amp;L in 2027</w:t>
            </w:r>
          </w:p>
        </w:tc>
        <w:tc>
          <w:tcPr>
            <w:tcW w:w="494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Frames you as a CFO-focused voice before you have a product. Gets shared by compliance professionals.</w:t>
            </w:r>
          </w:p>
        </w:tc>
      </w:tr>
      <w:tr>
        <w:trPr/>
        <w:tc>
          <w:tcPr>
            <w:tcW w:w="91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2</w:t>
            </w:r>
          </w:p>
        </w:tc>
        <w:tc>
          <w:tcPr>
            <w:tcW w:w="378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MACC problem: why Indian steel companies will be the biggest carbon buyers</w:t>
            </w:r>
          </w:p>
        </w:tc>
        <w:tc>
          <w:tcPr>
            <w:tcW w:w="494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Demonstrates sector-specific quantitative understanding. Attracts steel sector readers.</w:t>
            </w:r>
          </w:p>
        </w:tc>
      </w:tr>
      <w:tr>
        <w:trPr/>
        <w:tc>
          <w:tcPr>
            <w:tcW w:w="91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3</w:t>
            </w:r>
          </w:p>
        </w:tc>
        <w:tc>
          <w:tcPr>
            <w:tcW w:w="378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India's carbon market launches on IEX: a CFO's briefing note</w:t>
            </w:r>
          </w:p>
        </w:tc>
        <w:tc>
          <w:tcPr>
            <w:tcW w:w="494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Timely, newsworthy, practical. Positions you as the person CFOs follow for CCTS updates.</w:t>
            </w:r>
          </w:p>
        </w:tc>
      </w:tr>
      <w:tr>
        <w:trPr/>
        <w:tc>
          <w:tcPr>
            <w:tcW w:w="91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4</w:t>
            </w:r>
          </w:p>
        </w:tc>
        <w:tc>
          <w:tcPr>
            <w:tcW w:w="378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CBAM is live: what Indian cement exporters need to do before September 2027</w:t>
            </w:r>
          </w:p>
        </w:tc>
        <w:tc>
          <w:tcPr>
            <w:tcW w:w="494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Directly actionable for a specific audience. Drives inbound inquiries from exporters.</w:t>
            </w:r>
          </w:p>
        </w:tc>
      </w:tr>
      <w:tr>
        <w:trPr/>
        <w:tc>
          <w:tcPr>
            <w:tcW w:w="915"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b/>
              </w:rPr>
            </w:pPr>
            <w:r>
              <w:rPr>
                <w:rFonts w:ascii="Google Sans Text;sans-serif" w:hAnsi="Google Sans Text;sans-serif"/>
                <w:b/>
              </w:rPr>
              <w:t>5+</w:t>
            </w:r>
          </w:p>
        </w:tc>
        <w:tc>
          <w:tcPr>
            <w:tcW w:w="378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Monthly CCTS market update: CCC prices, compliance status, sector news</w:t>
            </w:r>
          </w:p>
        </w:tc>
        <w:tc>
          <w:tcPr>
            <w:tcW w:w="4942"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Creates a habit — people follow you for these updates. Transforms followers into warm leads.</w:t>
            </w:r>
          </w:p>
        </w:tc>
      </w:tr>
    </w:tbl>
    <w:p>
      <w:pPr>
        <w:pStyle w:val="Heading2"/>
        <w:bidi w:val="0"/>
        <w:spacing w:lineRule="auto" w:line="273" w:before="0" w:after="140"/>
        <w:ind w:hanging="0" w:left="0" w:right="0"/>
        <w:jc w:val="left"/>
        <w:rPr>
          <w:rFonts w:ascii="Google Sans;sans-serif" w:hAnsi="Google Sans;sans-serif"/>
        </w:rPr>
      </w:pPr>
      <w:r>
        <w:rPr>
          <w:rFonts w:ascii="Google Sans;sans-serif" w:hAnsi="Google Sans;sans-serif"/>
        </w:rPr>
        <w:t>11. Closing Note</w:t>
      </w:r>
    </w:p>
    <w:p>
      <w:pPr>
        <w:pStyle w:val="BlockQuotation"/>
        <w:bidi w:val="0"/>
        <w:spacing w:lineRule="auto" w:line="273" w:before="0" w:after="283"/>
        <w:ind w:hanging="0" w:left="567" w:right="567"/>
        <w:jc w:val="left"/>
        <w:rPr>
          <w:rFonts w:ascii="Google Sans Text;sans-serif" w:hAnsi="Google Sans Text;sans-serif"/>
          <w:i/>
        </w:rPr>
      </w:pPr>
      <w:r>
        <w:rPr>
          <w:rFonts w:ascii="Google Sans Text;sans-serif" w:hAnsi="Google Sans Text;sans-serif"/>
          <w:i/>
        </w:rPr>
        <w:t>This plan is not a guarantee. It is a map drawn with the best available information as of May 2026. The terrain will change. Regulatory timelines will slip. Clients will say no. Integrations will break. That is not failure — that is the job.</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What this plan gives you is not certainty. It gives you a decision framework: at every fork, you know which direction is forward and which is a distraction. When a client asks for a feature not in this plan, you can evaluate it against the phases. When a shiny partnership appears, you can check it against the risk register. When you feel lost — and you will, regularly — you can come back to this document and find the next step.</w:t>
      </w:r>
    </w:p>
    <w:p>
      <w:pPr>
        <w:pStyle w:val="BodyText"/>
        <w:bidi w:val="0"/>
        <w:spacing w:lineRule="auto" w:line="273" w:before="0" w:after="140"/>
        <w:ind w:hanging="0" w:left="0" w:right="0"/>
        <w:jc w:val="left"/>
        <w:rPr>
          <w:rFonts w:ascii="Google Sans Text;sans-serif" w:hAnsi="Google Sans Text;sans-serif"/>
        </w:rPr>
      </w:pPr>
      <w:r>
        <w:rPr>
          <w:rFonts w:ascii="Google Sans Text;sans-serif" w:hAnsi="Google Sans Text;sans-serif"/>
        </w:rPr>
        <w:t>The three things that matter more than anything else in this plan:</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Ship the demo this week.</w:t>
      </w:r>
      <w:r>
        <w:rPr>
          <w:rFonts w:ascii="Google Sans Text;sans-serif" w:hAnsi="Google Sans Text;sans-serif"/>
        </w:rPr>
        <w:t xml:space="preserve"> Not next week. Not after you polish the UI. A working URL that shows one cement plant's penalty risk is worth more than three months of additional model refinement.</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Get in front of real clients before Month 3.</w:t>
      </w:r>
      <w:r>
        <w:rPr>
          <w:rFonts w:ascii="Google Sans Text;sans-serif" w:hAnsi="Google Sans Text;sans-serif"/>
        </w:rPr>
        <w:t xml:space="preserve"> Everything you think you know about what they want is wrong until you hear it from them directly. Discovery calls are not sales calls — they are product research.</w:t>
      </w:r>
    </w:p>
    <w:p>
      <w:pPr>
        <w:pStyle w:val="BodyText"/>
        <w:numPr>
          <w:ilvl w:val="0"/>
          <w:numId w:val="5"/>
        </w:numPr>
        <w:pBdr/>
        <w:tabs>
          <w:tab w:val="clear" w:pos="709"/>
          <w:tab w:val="left" w:pos="709" w:leader="none"/>
        </w:tabs>
        <w:bidi w:val="0"/>
        <w:spacing w:lineRule="auto" w:line="273" w:before="0" w:after="140"/>
        <w:ind w:hanging="283" w:left="709" w:right="0"/>
        <w:jc w:val="left"/>
        <w:rPr>
          <w:rFonts w:ascii="Google Sans Text;sans-serif" w:hAnsi="Google Sans Text;sans-serif"/>
        </w:rPr>
      </w:pPr>
      <w:r>
        <w:rPr>
          <w:rFonts w:ascii="Google Sans Text;sans-serif" w:hAnsi="Google Sans Text;sans-serif"/>
          <w:b/>
        </w:rPr>
        <w:t>Protect your runway obsessively.</w:t>
      </w:r>
      <w:r>
        <w:rPr>
          <w:rFonts w:ascii="Google Sans Text;sans-serif" w:hAnsi="Google Sans Text;sans-serif"/>
        </w:rPr>
        <w:t xml:space="preserve"> The Yuva Nidhi stipend, the freelance income, the SISFS grant — none of these are large. Together they give you 12–18 months of permission to be wrong and try again. That is everything.</w:t>
      </w:r>
    </w:p>
    <w:p>
      <w:pPr>
        <w:sectPr>
          <w:type w:val="continuous"/>
          <w:pgSz w:w="11906" w:h="16838"/>
          <w:pgMar w:left="1134" w:right="1134" w:gutter="0" w:header="0" w:top="1134" w:footer="0" w:bottom="1134"/>
          <w:formProt w:val="false"/>
          <w:textDirection w:val="lrTb"/>
        </w:sectPr>
      </w:pPr>
    </w:p>
    <w:p>
      <w:pPr>
        <w:pStyle w:val="Normal"/>
        <w:bidi w:val="0"/>
        <w:jc w:val="lef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Google Sans">
    <w:altName w:val="sans-serif"/>
    <w:charset w:val="01"/>
    <w:family w:val="auto"/>
    <w:pitch w:val="default"/>
  </w:font>
  <w:font w:name="Google Sans Text">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4"/>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exindia.com/marketdata/carboncredit" TargetMode="External"/><Relationship Id="rId3" Type="http://schemas.openxmlformats.org/officeDocument/2006/relationships/hyperlink" Target="https://nseindia.com/reports/business-sustainability-reportin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LibreOffice/24.2.7.2$Linux_X86_64 LibreOffice_project/420$Build-2</Application>
  <AppVersion>15.0000</AppVersion>
  <Pages>23</Pages>
  <Words>5024</Words>
  <Characters>28071</Characters>
  <CharactersWithSpaces>32561</CharactersWithSpaces>
  <Paragraphs>555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2026-05-16T19:19:47Z</dcterms:created>
  <dc:creator/>
  <dc:description/>
  <dc:language>en-IN</dc:language>
  <cp:lastModifiedBy/>
  <dcterms:modified xsi:type="dcterms:W3CDTF">2026-05-16T19:23:02Z</dcterms:modified>
  <cp:revision>1</cp:revision>
  <dc:subject/>
  <dc:title/>
</cp:coreProperties>
</file>