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Название</w:t>
      </w:r>
    </w:p>
    <w:p>
      <w:pPr>
        <w:ind w:firstLine="709"/>
      </w:pPr>
      <w:r>
        <w:t>«Суррогатная многокритериальная оптимизация рабочих параметров твердооксидного топливного элемента на основе ансамблевых моделей машинного обучения и алгоритма NSGA-II»</w:t>
      </w:r>
    </w:p>
    <w:p>
      <w:pPr>
        <w:ind w:firstLine="709"/>
      </w:pPr>
      <w:r>
        <w:t>(англ.: “Surrogate-assisted multi-objective optimization of SOFC operating parameters using ensemble machine learning and NSGA-II”)</w:t>
      </w:r>
    </w:p>
    <w:p>
      <w:pPr>
        <w:pStyle w:val="Heading1"/>
      </w:pPr>
      <w:r>
        <w:t>Цель работы</w:t>
      </w:r>
    </w:p>
    <w:p>
      <w:pPr>
        <w:ind w:firstLine="709"/>
      </w:pPr>
      <w:r>
        <w:t>Разработка и верификация методики автоматизированного поиска оптимальных рабочих параметров ТОТЭ (напряжение ячейки, расход воздуха, расход топлива, температура на входе), обеспечивающих одновременную максимизацию плотности тока и КПД при минимизации суммарных потерь — без необходимости массового перебора дорогостоящих CFD-расчётов в ANSYS Fluent.</w:t>
      </w:r>
    </w:p>
    <w:p>
      <w:pPr>
        <w:pStyle w:val="Heading1"/>
      </w:pPr>
      <w:r>
        <w:t>Абстракт</w:t>
      </w:r>
    </w:p>
    <w:p>
      <w:pPr>
        <w:ind w:firstLine="709"/>
      </w:pPr>
      <w:r>
        <w:t>Оптимизация рабочих режимов твердооксидных топливных элементов (ТОТЭ) традиционно требует многократного запуска детальных физико-химических CFD-моделей, что сопряжено с высокими вычислительными затратами. В данной работе предложен подход, при котором на основе ограниченного набора результатов численного моделирования в ANSYS Fluent (≈150 расчётных точек) строятся суррогатные модели — ансамбли алгоритмов градиентного бустинга и случайного леса с полиномиальным расширением признаков. Построенные суррогаты используются в качестве целевых функций многокритериального генетического алгоритма NSGA-II для одновременной оптимизации плотности тока (P76), суммарных потерь (P62) и КПД (P89). Компромиссное решение выбирается по взвешенному расстоянию до идеальной точки на фронте Парето. Верификация найденного оптимума путём прямого расчёта в исходной модели ANSYS Fluent подтверждает высокую точность суррогатов и эффективность предложенной методики.</w:t>
      </w:r>
    </w:p>
    <w:p>
      <w:pPr>
        <w:pStyle w:val="Heading1"/>
      </w:pPr>
      <w:r>
        <w:t>Структура статьи</w:t>
      </w:r>
    </w:p>
    <w:p>
      <w:pPr>
        <w:pStyle w:val="Heading2"/>
      </w:pPr>
      <w:r>
        <w:t>1. Введение</w:t>
      </w:r>
    </w:p>
    <w:p>
      <w:pPr>
        <w:ind w:firstLine="709"/>
      </w:pPr>
      <w:r>
        <w:t>Актуальность оптимизации ТОТЭ; проблема вычислительной стоимости полных CFD-моделей; обзор существующих подходов (DOE, RSM, однокритериальная оптимизация).</w:t>
      </w:r>
    </w:p>
    <w:p>
      <w:pPr>
        <w:pStyle w:val="Heading2"/>
      </w:pPr>
      <w:r>
        <w:t>2. Математическая модель ТОТЭ в ANSYS Fluent</w:t>
      </w:r>
    </w:p>
    <w:p>
      <w:pPr>
        <w:ind w:firstLine="709"/>
      </w:pPr>
      <w:r>
        <w:t>Описание CFD-модели ячейки (40×40), используемый модуль SOFC (Fuel Cell and Electrolysis); входные параметры (P27 — напряжение ячейки, P46 — расход воздуха, P47 — расход топлива, P52 — температура газа на входе); выходные характеристики (P76 — плотность тока, P62 — суммарные потери, P79 — H₂ на выходе, P89 — КПД); план вычислительного эксперимента (10 серий × 15 расчётных точек).</w:t>
      </w:r>
    </w:p>
    <w:p>
      <w:pPr>
        <w:pStyle w:val="Heading2"/>
      </w:pPr>
      <w:r>
        <w:t>3. Построение суррогатных моделей</w:t>
      </w:r>
    </w:p>
    <w:p>
      <w:pPr>
        <w:ind w:firstLine="709"/>
      </w:pPr>
      <w:r>
        <w:t>Агрегация данных из результатов Fluent; feature engineering (обратная величина 1/P27, полиномиальное расширение степени 2); архитектура ансамбля (VotingRegressor: RF + GBR с log-трансформацией целевой переменной для P76; RF-пайплайны для P62, P79, P89); оценка качества через 5-fold кросс-валидацию (R², MAE).</w:t>
      </w:r>
    </w:p>
    <w:p>
      <w:pPr>
        <w:pStyle w:val="Heading2"/>
      </w:pPr>
      <w:r>
        <w:t>4. Многокритериальная оптимизация (NSGA-II)</w:t>
      </w:r>
    </w:p>
    <w:p>
      <w:pPr>
        <w:ind w:firstLine="709"/>
      </w:pPr>
      <w:r>
        <w:t>Формализация задачи (max P76, min P62, max P89); операторы (BLX-кроссовер, гауссова мутация); недоминируемая сортировка и crowding distance; выбор компромиссного решения по нормализованному расстоянию до идеальной точки с весами (0.4 / 0.2 / 0.3).</w:t>
      </w:r>
    </w:p>
    <w:p>
      <w:pPr>
        <w:pStyle w:val="Heading2"/>
      </w:pPr>
      <w:r>
        <w:t>5. Результаты и верификация</w:t>
      </w:r>
    </w:p>
    <w:p>
      <w:pPr>
        <w:ind w:firstLine="709"/>
      </w:pPr>
      <w:r>
        <w:t>Фронт Парето (суррогатный vs. из исходных данных Fluent); сходимость ГА по поколениям; сравнение найденного оптимума с прямым CFD-расчётом в ANSYS Fluent (таблица абсолютных и относительных отклонений); визуализация точности суррогатов (actual vs. predicted).</w:t>
      </w:r>
    </w:p>
    <w:p>
      <w:pPr>
        <w:pStyle w:val="Heading2"/>
      </w:pPr>
      <w:r>
        <w:t>6. Обсуждение</w:t>
      </w:r>
    </w:p>
    <w:p>
      <w:pPr>
        <w:ind w:firstLine="709"/>
      </w:pPr>
      <w:r>
        <w:t>Анализ чувствительности к весам целевых функций; влияние размера обучающей выборки на точность суррогатов; границы применимости подхода; сравнение с ручным подбором.</w:t>
      </w:r>
    </w:p>
    <w:p>
      <w:pPr>
        <w:pStyle w:val="Heading2"/>
      </w:pPr>
      <w:r>
        <w:t>7. Заключение</w:t>
      </w:r>
    </w:p>
    <w:p>
      <w:pPr>
        <w:ind w:firstLine="709"/>
      </w:pPr>
      <w:r>
        <w:t>Основные выводы; рекомендации для практического применения; направления дальнейших исследований.</w:t>
      </w:r>
    </w:p>
    <w:p>
      <w:pPr>
        <w:pStyle w:val="Heading1"/>
      </w:pPr>
      <w:r>
        <w:t>Научная новизна</w:t>
      </w:r>
    </w:p>
    <w:p>
      <w:pPr>
        <w:pStyle w:val="Heading2"/>
      </w:pPr>
      <w:r>
        <w:t>1. Суррогатная замена дорогостоящей CFD-модели</w:t>
      </w:r>
    </w:p>
    <w:p>
      <w:pPr>
        <w:ind w:firstLine="709"/>
      </w:pPr>
      <w:r>
        <w:t>Большинство работ по оптимизации ТОТЭ либо используют упрощённые аналитические модели, либо требуют тысяч запусков полной 3D-модели. Здесь показано, что ≈150 расчётных точек Fluent достаточно для построения адекватных суррогатов и нахождения оптимума, что снижает вычислительные затраты на 2–3 порядка по сравнению с прямой оптимизацией на CFD-модели.</w:t>
      </w:r>
    </w:p>
    <w:p>
      <w:pPr>
        <w:pStyle w:val="Heading2"/>
      </w:pPr>
      <w:r>
        <w:t>2. Физически мотивированный feature engineering для ансамблей</w:t>
      </w:r>
    </w:p>
    <w:p>
      <w:pPr>
        <w:ind w:firstLine="709"/>
      </w:pPr>
      <w:r>
        <w:t>Введение обратной величины 1/P27 для захвата нелинейного (экспоненциального) роста плотности тока при снижении напряжения ячейки — приём, основанный на электрохимии ТОТЭ (уравнение Батлера–Вольмера), не встречающийся в типичных surrogate-assisted optimization пайплайнах для топливных элементов.</w:t>
      </w:r>
    </w:p>
    <w:p>
      <w:pPr>
        <w:pStyle w:val="Heading2"/>
      </w:pPr>
      <w:r>
        <w:t>3. Замкнутый цикл «CFD → суррогат → оптимизация → верификация в CFD»</w:t>
      </w:r>
    </w:p>
    <w:p>
      <w:pPr>
        <w:ind w:firstLine="709"/>
      </w:pPr>
      <w:r>
        <w:t>В отличие от работ, ограничивающихся суррогатной оптимизацией без проверки, здесь найденные ГА параметры подставляются обратно в полную модель ANSYS Fluent и погрешность количественно оценена — что доказывает практическую пригодность методики.</w:t>
      </w:r>
    </w:p>
    <w:p>
      <w:pPr>
        <w:pStyle w:val="Heading2"/>
      </w:pPr>
      <w:r>
        <w:t>4. Воспроизводимый открытый pipeline</w:t>
      </w:r>
    </w:p>
    <w:p>
      <w:pPr>
        <w:ind w:firstLine="709"/>
      </w:pPr>
      <w:r>
        <w:t>Весь цикл (парсинг результатов Fluent → агрегация → ML-суррогаты → NSGA-II → верификация) реализован как программный pipeline на Python, что обеспечивает воспроизводимость и отличает работу от «чёрных ящиков» коммерческих оптимизаторов (ANSYS DesignXplorer, modeFRONTIER и т.д.).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