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11D4" w14:textId="758BE1E9" w:rsidR="00791610" w:rsidRPr="004A2B1A" w:rsidRDefault="00791610" w:rsidP="00791610">
      <w:pPr>
        <w:jc w:val="center"/>
        <w:rPr>
          <w:b/>
          <w:sz w:val="24"/>
          <w:szCs w:val="24"/>
        </w:rPr>
      </w:pPr>
      <w:r w:rsidRPr="004A2B1A">
        <w:rPr>
          <w:b/>
          <w:sz w:val="24"/>
          <w:szCs w:val="24"/>
        </w:rPr>
        <w:t xml:space="preserve">ACTIVIDAD SEMANA </w:t>
      </w:r>
      <w:r w:rsidR="007A3DA6">
        <w:rPr>
          <w:b/>
          <w:sz w:val="24"/>
          <w:szCs w:val="24"/>
        </w:rPr>
        <w:t>3</w:t>
      </w:r>
      <w:r w:rsidRPr="004A2B1A">
        <w:rPr>
          <w:b/>
          <w:sz w:val="24"/>
          <w:szCs w:val="24"/>
        </w:rPr>
        <w:t xml:space="preserve"> – P</w:t>
      </w:r>
      <w:r w:rsidR="007A3DA6">
        <w:rPr>
          <w:b/>
          <w:sz w:val="24"/>
          <w:szCs w:val="24"/>
        </w:rPr>
        <w:t>ATRON SINGLETON</w:t>
      </w:r>
    </w:p>
    <w:p w14:paraId="064AC052" w14:textId="77777777" w:rsidR="00791610" w:rsidRDefault="00791610" w:rsidP="00791610">
      <w:pPr>
        <w:jc w:val="center"/>
        <w:rPr>
          <w:rFonts w:eastAsia="Arial" w:cs="Arial"/>
          <w:b/>
          <w:bCs/>
        </w:rPr>
      </w:pPr>
    </w:p>
    <w:p w14:paraId="7CC0B625" w14:textId="77777777" w:rsidR="00791610" w:rsidRDefault="00791610" w:rsidP="00791610">
      <w:pPr>
        <w:jc w:val="center"/>
        <w:rPr>
          <w:rFonts w:eastAsia="Arial" w:cs="Arial"/>
          <w:b/>
          <w:bCs/>
        </w:rPr>
      </w:pPr>
    </w:p>
    <w:p w14:paraId="081897AA" w14:textId="77777777" w:rsidR="00791610" w:rsidRDefault="00791610" w:rsidP="00791610">
      <w:pPr>
        <w:jc w:val="center"/>
        <w:rPr>
          <w:rFonts w:eastAsia="Arial" w:cs="Arial"/>
          <w:b/>
          <w:bCs/>
        </w:rPr>
      </w:pPr>
    </w:p>
    <w:p w14:paraId="327F0FBA" w14:textId="77777777" w:rsidR="00791610" w:rsidRDefault="00791610" w:rsidP="00791610">
      <w:pPr>
        <w:jc w:val="center"/>
        <w:rPr>
          <w:rFonts w:eastAsia="Arial" w:cs="Arial"/>
          <w:b/>
          <w:bCs/>
        </w:rPr>
      </w:pPr>
    </w:p>
    <w:p w14:paraId="4F8B2A89" w14:textId="77777777" w:rsidR="00791610" w:rsidRDefault="00791610" w:rsidP="00791610">
      <w:pPr>
        <w:jc w:val="center"/>
        <w:rPr>
          <w:rFonts w:eastAsia="Arial" w:cs="Arial"/>
          <w:b/>
          <w:bCs/>
        </w:rPr>
      </w:pPr>
    </w:p>
    <w:p w14:paraId="28EBAD0D" w14:textId="77777777" w:rsidR="00791610" w:rsidRDefault="00791610" w:rsidP="00791610">
      <w:pPr>
        <w:jc w:val="center"/>
        <w:rPr>
          <w:rFonts w:eastAsia="Arial" w:cs="Arial"/>
          <w:b/>
          <w:bCs/>
        </w:rPr>
      </w:pPr>
    </w:p>
    <w:p w14:paraId="745A990C" w14:textId="77777777" w:rsidR="00791610" w:rsidRDefault="00791610" w:rsidP="00791610">
      <w:pPr>
        <w:jc w:val="center"/>
        <w:rPr>
          <w:rFonts w:eastAsia="Arial" w:cs="Arial"/>
          <w:b/>
          <w:bCs/>
        </w:rPr>
      </w:pPr>
      <w:r w:rsidRPr="00C9BE36">
        <w:rPr>
          <w:rFonts w:eastAsia="Arial" w:cs="Arial"/>
          <w:b/>
          <w:bCs/>
          <w:sz w:val="24"/>
          <w:szCs w:val="24"/>
          <w:lang w:val="es-ES"/>
        </w:rPr>
        <w:t>Sandra Milena Albarracin Gualdron</w:t>
      </w:r>
    </w:p>
    <w:p w14:paraId="03BCC746" w14:textId="77777777" w:rsidR="00791610" w:rsidRDefault="00791610" w:rsidP="00791610">
      <w:pPr>
        <w:jc w:val="center"/>
        <w:rPr>
          <w:rFonts w:eastAsia="Arial" w:cs="Arial"/>
          <w:b/>
          <w:bCs/>
          <w:sz w:val="24"/>
          <w:szCs w:val="24"/>
          <w:lang w:val="es-ES"/>
        </w:rPr>
      </w:pPr>
    </w:p>
    <w:p w14:paraId="46D0931A" w14:textId="77777777" w:rsidR="00791610" w:rsidRDefault="00791610" w:rsidP="00791610">
      <w:pPr>
        <w:jc w:val="center"/>
        <w:rPr>
          <w:rFonts w:eastAsia="Arial" w:cs="Arial"/>
          <w:b/>
          <w:bCs/>
        </w:rPr>
      </w:pPr>
    </w:p>
    <w:p w14:paraId="7C35856B" w14:textId="77777777" w:rsidR="00791610" w:rsidRDefault="00791610" w:rsidP="00791610">
      <w:pPr>
        <w:jc w:val="center"/>
        <w:rPr>
          <w:rFonts w:eastAsia="Arial" w:cs="Arial"/>
          <w:b/>
          <w:bCs/>
        </w:rPr>
      </w:pPr>
    </w:p>
    <w:p w14:paraId="2C4C5488" w14:textId="77777777" w:rsidR="00791610" w:rsidRDefault="00791610" w:rsidP="00791610">
      <w:pPr>
        <w:jc w:val="center"/>
        <w:rPr>
          <w:rFonts w:eastAsia="Arial" w:cs="Arial"/>
          <w:b/>
          <w:bCs/>
        </w:rPr>
      </w:pPr>
    </w:p>
    <w:p w14:paraId="0753A639" w14:textId="77777777" w:rsidR="00791610" w:rsidRDefault="00791610" w:rsidP="00791610">
      <w:pPr>
        <w:jc w:val="center"/>
        <w:rPr>
          <w:rFonts w:eastAsia="Arial" w:cs="Arial"/>
          <w:b/>
          <w:bCs/>
        </w:rPr>
      </w:pPr>
      <w:r>
        <w:rPr>
          <w:rFonts w:eastAsia="Arial" w:cs="Arial"/>
          <w:b/>
          <w:bCs/>
          <w:sz w:val="24"/>
          <w:szCs w:val="24"/>
          <w:lang w:val="es-ES"/>
        </w:rPr>
        <w:t>Patrones Software</w:t>
      </w:r>
    </w:p>
    <w:p w14:paraId="2F1C90C1" w14:textId="77777777" w:rsidR="00791610" w:rsidRDefault="00791610" w:rsidP="00791610">
      <w:pPr>
        <w:jc w:val="center"/>
        <w:rPr>
          <w:rFonts w:eastAsia="Arial" w:cs="Arial"/>
          <w:b/>
          <w:bCs/>
        </w:rPr>
      </w:pPr>
    </w:p>
    <w:p w14:paraId="75EA10DB" w14:textId="77777777" w:rsidR="00791610" w:rsidRDefault="00791610" w:rsidP="00791610">
      <w:pPr>
        <w:jc w:val="center"/>
        <w:rPr>
          <w:rFonts w:eastAsia="Arial" w:cs="Arial"/>
          <w:b/>
          <w:bCs/>
        </w:rPr>
      </w:pPr>
    </w:p>
    <w:p w14:paraId="2F958C1C" w14:textId="77777777" w:rsidR="00791610" w:rsidRDefault="00791610" w:rsidP="00791610">
      <w:pPr>
        <w:jc w:val="center"/>
        <w:rPr>
          <w:rFonts w:eastAsia="Arial" w:cs="Arial"/>
          <w:b/>
          <w:bCs/>
        </w:rPr>
      </w:pPr>
    </w:p>
    <w:p w14:paraId="172CCD0A" w14:textId="77777777" w:rsidR="00791610" w:rsidRDefault="00791610" w:rsidP="00791610">
      <w:pPr>
        <w:jc w:val="center"/>
        <w:rPr>
          <w:rFonts w:eastAsia="Arial" w:cs="Arial"/>
          <w:b/>
          <w:bCs/>
        </w:rPr>
      </w:pPr>
    </w:p>
    <w:p w14:paraId="2CC2BB52" w14:textId="77777777" w:rsidR="00791610" w:rsidRDefault="00791610" w:rsidP="00791610">
      <w:pPr>
        <w:jc w:val="center"/>
        <w:rPr>
          <w:rFonts w:eastAsia="Arial" w:cs="Arial"/>
          <w:b/>
          <w:bCs/>
        </w:rPr>
      </w:pPr>
    </w:p>
    <w:p w14:paraId="45990597" w14:textId="77777777" w:rsidR="00791610" w:rsidRDefault="00791610" w:rsidP="00791610">
      <w:pPr>
        <w:jc w:val="center"/>
        <w:rPr>
          <w:rFonts w:eastAsia="Arial" w:cs="Arial"/>
          <w:b/>
          <w:bCs/>
        </w:rPr>
      </w:pPr>
    </w:p>
    <w:p w14:paraId="1A7852AA" w14:textId="77777777" w:rsidR="00791610" w:rsidRDefault="00791610" w:rsidP="00791610">
      <w:pPr>
        <w:jc w:val="center"/>
        <w:rPr>
          <w:rFonts w:eastAsia="Arial" w:cs="Arial"/>
          <w:b/>
          <w:bCs/>
        </w:rPr>
      </w:pPr>
    </w:p>
    <w:p w14:paraId="15081150" w14:textId="77777777" w:rsidR="00791610" w:rsidRDefault="00791610" w:rsidP="00791610">
      <w:pPr>
        <w:jc w:val="center"/>
        <w:rPr>
          <w:rFonts w:eastAsia="Arial" w:cs="Arial"/>
          <w:b/>
          <w:bCs/>
        </w:rPr>
      </w:pPr>
    </w:p>
    <w:p w14:paraId="718CDD76" w14:textId="77777777" w:rsidR="00791610" w:rsidRDefault="00791610" w:rsidP="00791610">
      <w:pPr>
        <w:jc w:val="center"/>
        <w:rPr>
          <w:rFonts w:eastAsia="Arial" w:cs="Arial"/>
          <w:b/>
          <w:bCs/>
        </w:rPr>
      </w:pPr>
    </w:p>
    <w:p w14:paraId="4418E8EF" w14:textId="77777777" w:rsidR="00791610" w:rsidRDefault="00791610" w:rsidP="00791610">
      <w:pPr>
        <w:jc w:val="center"/>
        <w:rPr>
          <w:rFonts w:eastAsia="Arial" w:cs="Arial"/>
          <w:b/>
          <w:bCs/>
        </w:rPr>
      </w:pPr>
      <w:r w:rsidRPr="00C9BE36">
        <w:rPr>
          <w:rFonts w:eastAsia="Arial" w:cs="Arial"/>
          <w:b/>
          <w:bCs/>
          <w:sz w:val="24"/>
          <w:szCs w:val="24"/>
          <w:lang w:val="es-ES"/>
        </w:rPr>
        <w:t>Unidades Tecnológicas de Santander</w:t>
      </w:r>
    </w:p>
    <w:p w14:paraId="0AACF66A" w14:textId="77777777" w:rsidR="00791610" w:rsidRDefault="00791610" w:rsidP="00791610">
      <w:pPr>
        <w:jc w:val="center"/>
        <w:rPr>
          <w:rFonts w:eastAsia="Arial" w:cs="Arial"/>
          <w:b/>
          <w:bCs/>
          <w:sz w:val="24"/>
          <w:szCs w:val="24"/>
          <w:lang w:val="es-ES"/>
        </w:rPr>
      </w:pPr>
      <w:r w:rsidRPr="00C9BE36">
        <w:rPr>
          <w:rFonts w:eastAsia="Arial" w:cs="Arial"/>
          <w:b/>
          <w:bCs/>
          <w:sz w:val="24"/>
          <w:szCs w:val="24"/>
          <w:lang w:val="es-ES"/>
        </w:rPr>
        <w:t>Bucaramanga –Santander agosto 2026</w:t>
      </w:r>
    </w:p>
    <w:p w14:paraId="2E2DE313" w14:textId="77777777" w:rsidR="00791610" w:rsidRDefault="00791610" w:rsidP="00791610">
      <w:pPr>
        <w:jc w:val="center"/>
        <w:rPr>
          <w:rFonts w:eastAsia="Arial" w:cs="Arial"/>
          <w:b/>
          <w:bCs/>
          <w:sz w:val="24"/>
          <w:szCs w:val="24"/>
          <w:lang w:val="es-ES"/>
        </w:rPr>
      </w:pPr>
    </w:p>
    <w:p w14:paraId="4204456C" w14:textId="77777777" w:rsidR="00791610" w:rsidRDefault="00791610" w:rsidP="00791610">
      <w:pPr>
        <w:jc w:val="center"/>
        <w:rPr>
          <w:rFonts w:eastAsia="Arial" w:cs="Arial"/>
          <w:b/>
          <w:bCs/>
          <w:sz w:val="24"/>
          <w:szCs w:val="24"/>
          <w:lang w:val="es-ES"/>
        </w:rPr>
      </w:pPr>
    </w:p>
    <w:p w14:paraId="3B70DA3F" w14:textId="77777777" w:rsidR="00791610" w:rsidRDefault="00791610" w:rsidP="00791610">
      <w:pPr>
        <w:jc w:val="center"/>
        <w:rPr>
          <w:rFonts w:eastAsia="Arial" w:cs="Arial"/>
          <w:b/>
          <w:bCs/>
          <w:sz w:val="24"/>
          <w:szCs w:val="24"/>
          <w:lang w:val="es-ES"/>
        </w:rPr>
      </w:pPr>
    </w:p>
    <w:p w14:paraId="641B399F" w14:textId="164CF432" w:rsidR="00791610" w:rsidRDefault="00791610" w:rsidP="00791610">
      <w:pPr>
        <w:jc w:val="center"/>
        <w:rPr>
          <w:rFonts w:eastAsia="Arial" w:cs="Arial"/>
          <w:b/>
          <w:bCs/>
          <w:sz w:val="24"/>
          <w:szCs w:val="24"/>
        </w:rPr>
      </w:pPr>
      <w:r>
        <w:rPr>
          <w:rFonts w:eastAsia="Arial" w:cs="Arial"/>
          <w:b/>
          <w:bCs/>
          <w:sz w:val="24"/>
          <w:szCs w:val="24"/>
          <w:lang w:val="es-ES"/>
        </w:rPr>
        <w:t>Proyecto:</w:t>
      </w:r>
      <w:r w:rsidRPr="00791610">
        <w:t xml:space="preserve"> </w:t>
      </w:r>
      <w:r w:rsidRPr="00791610">
        <w:rPr>
          <w:rFonts w:eastAsia="Arial" w:cs="Arial"/>
          <w:b/>
          <w:bCs/>
          <w:sz w:val="24"/>
          <w:szCs w:val="24"/>
        </w:rPr>
        <w:t xml:space="preserve">Plataforma de </w:t>
      </w:r>
      <w:proofErr w:type="spellStart"/>
      <w:r w:rsidRPr="00791610">
        <w:rPr>
          <w:rFonts w:eastAsia="Arial" w:cs="Arial"/>
          <w:b/>
          <w:bCs/>
          <w:sz w:val="24"/>
          <w:szCs w:val="24"/>
        </w:rPr>
        <w:t>Mantenimiento</w:t>
      </w:r>
      <w:proofErr w:type="spellEnd"/>
      <w:r w:rsidRPr="00791610">
        <w:rPr>
          <w:rFonts w:eastAsia="Arial" w:cs="Arial"/>
          <w:b/>
          <w:bCs/>
          <w:sz w:val="24"/>
          <w:szCs w:val="24"/>
        </w:rPr>
        <w:t xml:space="preserve"> </w:t>
      </w:r>
      <w:proofErr w:type="spellStart"/>
      <w:r w:rsidRPr="00791610">
        <w:rPr>
          <w:rFonts w:eastAsia="Arial" w:cs="Arial"/>
          <w:b/>
          <w:bCs/>
          <w:sz w:val="24"/>
          <w:szCs w:val="24"/>
        </w:rPr>
        <w:t>Predictivo</w:t>
      </w:r>
      <w:proofErr w:type="spellEnd"/>
      <w:r w:rsidRPr="00791610">
        <w:rPr>
          <w:rFonts w:eastAsia="Arial" w:cs="Arial"/>
          <w:b/>
          <w:bCs/>
          <w:sz w:val="24"/>
          <w:szCs w:val="24"/>
        </w:rPr>
        <w:t xml:space="preserve"> Industrial</w:t>
      </w:r>
    </w:p>
    <w:p w14:paraId="4009EBDE" w14:textId="77777777" w:rsidR="00791610" w:rsidRDefault="00791610" w:rsidP="00791610">
      <w:pPr>
        <w:jc w:val="center"/>
        <w:rPr>
          <w:rFonts w:eastAsia="Arial" w:cs="Arial"/>
          <w:b/>
          <w:bCs/>
          <w:sz w:val="24"/>
          <w:szCs w:val="24"/>
        </w:rPr>
      </w:pPr>
    </w:p>
    <w:p w14:paraId="5CA276F9" w14:textId="4E2B7198" w:rsidR="00791610" w:rsidRPr="00791610" w:rsidRDefault="00791610" w:rsidP="00791610">
      <w:proofErr w:type="spellStart"/>
      <w:r w:rsidRPr="00791610">
        <w:t>Patrón</w:t>
      </w:r>
      <w:proofErr w:type="spellEnd"/>
      <w:r w:rsidRPr="00791610">
        <w:t xml:space="preserve"> Singleton (</w:t>
      </w:r>
      <w:proofErr w:type="spellStart"/>
      <w:r w:rsidRPr="00791610">
        <w:t>Aplicado</w:t>
      </w:r>
      <w:proofErr w:type="spellEnd"/>
      <w:r w:rsidRPr="00791610">
        <w:t xml:space="preserve"> a la </w:t>
      </w:r>
      <w:proofErr w:type="spellStart"/>
      <w:r w:rsidRPr="00791610">
        <w:t>capa</w:t>
      </w:r>
      <w:proofErr w:type="spellEnd"/>
      <w:r w:rsidRPr="00791610">
        <w:t xml:space="preserve"> de </w:t>
      </w:r>
      <w:proofErr w:type="spellStart"/>
      <w:r w:rsidRPr="00791610">
        <w:t>conexión</w:t>
      </w:r>
      <w:proofErr w:type="spellEnd"/>
      <w:r w:rsidRPr="00791610">
        <w:t xml:space="preserve"> de Base de Datos).</w:t>
      </w:r>
    </w:p>
    <w:p w14:paraId="09DFA5AE" w14:textId="77777777" w:rsidR="00791610" w:rsidRPr="00791610" w:rsidRDefault="00791610" w:rsidP="00791610">
      <w:pPr>
        <w:rPr>
          <w:lang w:val="es-CO"/>
        </w:rPr>
      </w:pPr>
      <w:r w:rsidRPr="00791610">
        <w:rPr>
          <w:lang w:val="es-CO"/>
        </w:rPr>
        <w:t>El Patrón Singleton se encuentra implementado de forma exclusiva en el archivo de la capa de datos, denominado conexion.py.</w:t>
      </w:r>
    </w:p>
    <w:p w14:paraId="63E3BE47" w14:textId="77777777" w:rsidR="00791610" w:rsidRDefault="00791610" w:rsidP="00791610">
      <w:pPr>
        <w:rPr>
          <w:lang w:val="es-CO"/>
        </w:rPr>
      </w:pPr>
      <w:r w:rsidRPr="00791610">
        <w:rPr>
          <w:lang w:val="es-CO"/>
        </w:rPr>
        <w:t>Este patrón garantiza dos reglas fundamentales a lo largo de toda la ejecución de la aplicación web en Flask:</w:t>
      </w:r>
    </w:p>
    <w:p w14:paraId="5CD558E8" w14:textId="621093A3" w:rsidR="00791610" w:rsidRPr="00791610" w:rsidRDefault="00791610" w:rsidP="00791610">
      <w:pPr>
        <w:pStyle w:val="Prrafodelista"/>
        <w:numPr>
          <w:ilvl w:val="0"/>
          <w:numId w:val="1"/>
        </w:numPr>
        <w:rPr>
          <w:lang w:val="es-CO"/>
        </w:rPr>
      </w:pPr>
      <w:r w:rsidRPr="00791610">
        <w:rPr>
          <w:b/>
          <w:bCs/>
          <w:lang w:val="es-CO"/>
        </w:rPr>
        <w:t>Instancia Única:</w:t>
      </w:r>
      <w:r w:rsidRPr="00791610">
        <w:rPr>
          <w:lang w:val="es-CO"/>
        </w:rPr>
        <w:t xml:space="preserve"> La clase encargada de gestionar la conexión (</w:t>
      </w:r>
      <w:proofErr w:type="spellStart"/>
      <w:r w:rsidRPr="00791610">
        <w:rPr>
          <w:b/>
          <w:bCs/>
          <w:lang w:val="es-CO"/>
        </w:rPr>
        <w:t>ConexionBaseDatos</w:t>
      </w:r>
      <w:proofErr w:type="spellEnd"/>
      <w:r w:rsidRPr="00791610">
        <w:rPr>
          <w:lang w:val="es-CO"/>
        </w:rPr>
        <w:t>) permite crear un único objeto en memoria durante todo el ciclo de vida del servidor web, evitando que cada petición HTTP (como iniciar sesión o consultar los sensores) genere una nueva conexión independiente hacia el servidor de MySQL.</w:t>
      </w:r>
    </w:p>
    <w:p w14:paraId="5B7A9E7F" w14:textId="7FC09A03" w:rsidR="00791610" w:rsidRDefault="00791610" w:rsidP="00791610">
      <w:pPr>
        <w:pStyle w:val="Prrafodelista"/>
        <w:numPr>
          <w:ilvl w:val="0"/>
          <w:numId w:val="1"/>
        </w:numPr>
        <w:rPr>
          <w:lang w:val="es-CO"/>
        </w:rPr>
      </w:pPr>
      <w:r w:rsidRPr="00791610">
        <w:rPr>
          <w:b/>
          <w:bCs/>
          <w:lang w:val="es-CO"/>
        </w:rPr>
        <w:t>Punto de Acceso Global:</w:t>
      </w:r>
      <w:r w:rsidRPr="00791610">
        <w:rPr>
          <w:lang w:val="es-CO"/>
        </w:rPr>
        <w:t xml:space="preserve"> Proporciona un método estático (</w:t>
      </w:r>
      <w:proofErr w:type="spellStart"/>
      <w:r w:rsidRPr="00791610">
        <w:rPr>
          <w:b/>
          <w:bCs/>
          <w:lang w:val="es-CO"/>
        </w:rPr>
        <w:t>obtener_</w:t>
      </w:r>
      <w:proofErr w:type="gramStart"/>
      <w:r w:rsidRPr="00791610">
        <w:rPr>
          <w:b/>
          <w:bCs/>
          <w:lang w:val="es-CO"/>
        </w:rPr>
        <w:t>instancia</w:t>
      </w:r>
      <w:proofErr w:type="spellEnd"/>
      <w:r w:rsidRPr="00791610">
        <w:rPr>
          <w:b/>
          <w:bCs/>
          <w:lang w:val="es-CO"/>
        </w:rPr>
        <w:t>(</w:t>
      </w:r>
      <w:proofErr w:type="gramEnd"/>
      <w:r w:rsidRPr="00791610">
        <w:rPr>
          <w:b/>
          <w:bCs/>
          <w:lang w:val="es-CO"/>
        </w:rPr>
        <w:t>))</w:t>
      </w:r>
      <w:r w:rsidRPr="00791610">
        <w:rPr>
          <w:lang w:val="es-CO"/>
        </w:rPr>
        <w:t xml:space="preserve"> al cual cualquier módulo del sistema (como el login, el monitoreo de sensores o la gestión de usuarios) puede llamar para solicitar la conexión activa sin necesidad de </w:t>
      </w:r>
      <w:proofErr w:type="spellStart"/>
      <w:r w:rsidRPr="00791610">
        <w:rPr>
          <w:lang w:val="es-CO"/>
        </w:rPr>
        <w:t>reinstanciar</w:t>
      </w:r>
      <w:proofErr w:type="spellEnd"/>
      <w:r w:rsidRPr="00791610">
        <w:rPr>
          <w:lang w:val="es-CO"/>
        </w:rPr>
        <w:t xml:space="preserve"> la clase de conexión.</w:t>
      </w:r>
    </w:p>
    <w:p w14:paraId="6885E291" w14:textId="21580362" w:rsidR="00791610" w:rsidRDefault="00791610" w:rsidP="00791610">
      <w:r w:rsidRPr="00791610">
        <w:t xml:space="preserve">La </w:t>
      </w:r>
      <w:proofErr w:type="spellStart"/>
      <w:r w:rsidRPr="00791610">
        <w:t>integración</w:t>
      </w:r>
      <w:proofErr w:type="spellEnd"/>
      <w:r w:rsidRPr="00791610">
        <w:t xml:space="preserve"> del </w:t>
      </w:r>
      <w:proofErr w:type="spellStart"/>
      <w:r w:rsidRPr="00791610">
        <w:t>Patrón</w:t>
      </w:r>
      <w:proofErr w:type="spellEnd"/>
      <w:r w:rsidRPr="00791610">
        <w:t xml:space="preserve"> Singleton </w:t>
      </w:r>
      <w:proofErr w:type="spellStart"/>
      <w:r w:rsidRPr="00791610">
        <w:t>en</w:t>
      </w:r>
      <w:proofErr w:type="spellEnd"/>
      <w:r w:rsidRPr="00791610">
        <w:t xml:space="preserve"> </w:t>
      </w:r>
      <w:proofErr w:type="spellStart"/>
      <w:r w:rsidRPr="00791610">
        <w:t>este</w:t>
      </w:r>
      <w:proofErr w:type="spellEnd"/>
      <w:r w:rsidRPr="00791610">
        <w:t xml:space="preserve"> </w:t>
      </w:r>
      <w:proofErr w:type="spellStart"/>
      <w:r w:rsidRPr="00791610">
        <w:t>sistema</w:t>
      </w:r>
      <w:proofErr w:type="spellEnd"/>
      <w:r w:rsidRPr="00791610">
        <w:t xml:space="preserve"> </w:t>
      </w:r>
      <w:proofErr w:type="spellStart"/>
      <w:r w:rsidRPr="00791610">
        <w:t>aporta</w:t>
      </w:r>
      <w:proofErr w:type="spellEnd"/>
      <w:r w:rsidRPr="00791610">
        <w:t xml:space="preserve"> </w:t>
      </w:r>
      <w:proofErr w:type="spellStart"/>
      <w:r w:rsidRPr="00791610">
        <w:t>beneficios</w:t>
      </w:r>
      <w:proofErr w:type="spellEnd"/>
      <w:r w:rsidRPr="00791610">
        <w:t xml:space="preserve"> </w:t>
      </w:r>
      <w:proofErr w:type="spellStart"/>
      <w:r w:rsidRPr="00791610">
        <w:t>críticos</w:t>
      </w:r>
      <w:proofErr w:type="spellEnd"/>
      <w:r w:rsidRPr="00791610">
        <w:t xml:space="preserve"> para el </w:t>
      </w:r>
      <w:proofErr w:type="spellStart"/>
      <w:r w:rsidRPr="00791610">
        <w:t>rendimiento</w:t>
      </w:r>
      <w:proofErr w:type="spellEnd"/>
      <w:r w:rsidRPr="00791610">
        <w:t xml:space="preserve">, la </w:t>
      </w:r>
      <w:proofErr w:type="spellStart"/>
      <w:r w:rsidRPr="00791610">
        <w:t>estabilidad</w:t>
      </w:r>
      <w:proofErr w:type="spellEnd"/>
      <w:r w:rsidRPr="00791610">
        <w:t xml:space="preserve"> y la </w:t>
      </w:r>
      <w:proofErr w:type="spellStart"/>
      <w:r w:rsidRPr="00791610">
        <w:t>escalabilidad</w:t>
      </w:r>
      <w:proofErr w:type="spellEnd"/>
      <w:r w:rsidRPr="00791610">
        <w:t xml:space="preserve"> del software industrial:</w:t>
      </w:r>
    </w:p>
    <w:p w14:paraId="45D84FAD" w14:textId="7D393255" w:rsidR="00791610" w:rsidRPr="00791610" w:rsidRDefault="00791610" w:rsidP="00791610">
      <w:pPr>
        <w:rPr>
          <w:lang w:val="es-CO"/>
        </w:rPr>
      </w:pPr>
      <w:r w:rsidRPr="00791610">
        <w:rPr>
          <w:b/>
          <w:bCs/>
          <w:lang w:val="es-CO"/>
        </w:rPr>
        <w:t>Optimización de Recursos (Eficiencia de Conexiones):</w:t>
      </w:r>
      <w:r w:rsidRPr="00791610">
        <w:rPr>
          <w:lang w:val="es-CO"/>
        </w:rPr>
        <w:t xml:space="preserve"> En una aplicación web, múltiples usuarios (operarios, personal de mantenimiento, administradores) pueden interactuar al mismo tiempo. Sin Singleton, cada consulta abriría una conexión física nueva con MySQL, agotando rápidamente el límite de conexiones concurrentes del servidor de base de datos.</w:t>
      </w:r>
    </w:p>
    <w:p w14:paraId="33E12593" w14:textId="33FC9DA9" w:rsidR="00791610" w:rsidRPr="00791610" w:rsidRDefault="00791610" w:rsidP="00791610">
      <w:pPr>
        <w:rPr>
          <w:lang w:val="es-CO"/>
        </w:rPr>
      </w:pPr>
      <w:r w:rsidRPr="00791610">
        <w:rPr>
          <w:b/>
          <w:bCs/>
          <w:lang w:val="es-CO"/>
        </w:rPr>
        <w:t>Rendimiento y Menor Latencia:</w:t>
      </w:r>
      <w:r w:rsidRPr="00791610">
        <w:rPr>
          <w:lang w:val="es-CO"/>
        </w:rPr>
        <w:t xml:space="preserve"> Al reutilizar la misma conexión ya abierta en lugar de abrir y cerrar sockets de red constantemente en cada consulta de sensores o validación de login, el tiempo de respuesta de las páginas web disminuye notablemente.</w:t>
      </w:r>
    </w:p>
    <w:p w14:paraId="11407BC2" w14:textId="5F6B572F" w:rsidR="00791610" w:rsidRDefault="00791610" w:rsidP="00791610">
      <w:pPr>
        <w:rPr>
          <w:lang w:val="es-CO"/>
        </w:rPr>
      </w:pPr>
      <w:r w:rsidRPr="00791610">
        <w:rPr>
          <w:b/>
          <w:bCs/>
          <w:lang w:val="es-CO"/>
        </w:rPr>
        <w:t>Centralización y Control:</w:t>
      </w:r>
      <w:r w:rsidRPr="00791610">
        <w:rPr>
          <w:lang w:val="es-CO"/>
        </w:rPr>
        <w:t xml:space="preserve"> Cualquier cambio en las credenciales, el host o el puerto de la base de datos se modifica en un solo lugar (conexion.py), propagándose de forma transparente y segura a todo el sistema Flask sin alterar las rutas ni los controladores (app.py).</w:t>
      </w:r>
    </w:p>
    <w:p w14:paraId="52A39FF8" w14:textId="360E0881" w:rsidR="00791610" w:rsidRPr="00791610" w:rsidRDefault="00791610" w:rsidP="00791610">
      <w:pPr>
        <w:rPr>
          <w:lang w:val="es-CO"/>
        </w:rPr>
      </w:pPr>
      <w:r w:rsidRPr="00791610">
        <w:rPr>
          <w:lang w:val="es-CO"/>
        </w:rPr>
        <w:lastRenderedPageBreak/>
        <w:drawing>
          <wp:inline distT="0" distB="0" distL="0" distR="0" wp14:anchorId="536912F4" wp14:editId="5633A59B">
            <wp:extent cx="5615429" cy="5791200"/>
            <wp:effectExtent l="0" t="0" r="4445" b="0"/>
            <wp:docPr id="1207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4918" name=""/>
                    <pic:cNvPicPr/>
                  </pic:nvPicPr>
                  <pic:blipFill>
                    <a:blip r:embed="rId5"/>
                    <a:stretch>
                      <a:fillRect/>
                    </a:stretch>
                  </pic:blipFill>
                  <pic:spPr>
                    <a:xfrm>
                      <a:off x="0" y="0"/>
                      <a:ext cx="5625769" cy="5801864"/>
                    </a:xfrm>
                    <a:prstGeom prst="rect">
                      <a:avLst/>
                    </a:prstGeom>
                  </pic:spPr>
                </pic:pic>
              </a:graphicData>
            </a:graphic>
          </wp:inline>
        </w:drawing>
      </w:r>
    </w:p>
    <w:p w14:paraId="5BAC8292" w14:textId="77777777" w:rsidR="00791610" w:rsidRDefault="00791610" w:rsidP="00791610"/>
    <w:p w14:paraId="2A8C5C64" w14:textId="77777777" w:rsidR="00D27B20" w:rsidRDefault="00D27B20"/>
    <w:sectPr w:rsidR="00D27B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B598D"/>
    <w:multiLevelType w:val="hybridMultilevel"/>
    <w:tmpl w:val="68AABE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50975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610"/>
    <w:rsid w:val="00097529"/>
    <w:rsid w:val="00791610"/>
    <w:rsid w:val="007A3DA6"/>
    <w:rsid w:val="00CF157F"/>
    <w:rsid w:val="00D27B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AB7C"/>
  <w15:chartTrackingRefBased/>
  <w15:docId w15:val="{69590B47-7FBC-4C9F-AB15-CC147A97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610"/>
    <w:pPr>
      <w:spacing w:after="200" w:line="276" w:lineRule="auto"/>
    </w:pPr>
    <w:rPr>
      <w:rFonts w:ascii="Arial" w:eastAsiaTheme="minorEastAsia" w:hAnsi="Arial"/>
      <w:kern w:val="0"/>
      <w:sz w:val="21"/>
      <w:szCs w:val="22"/>
      <w:lang w:val="en-US"/>
      <w14:ligatures w14:val="none"/>
    </w:rPr>
  </w:style>
  <w:style w:type="paragraph" w:styleId="Ttulo1">
    <w:name w:val="heading 1"/>
    <w:basedOn w:val="Normal"/>
    <w:next w:val="Normal"/>
    <w:link w:val="Ttulo1Car"/>
    <w:uiPriority w:val="9"/>
    <w:qFormat/>
    <w:rsid w:val="007916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16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16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1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1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1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1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1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1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1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1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1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1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610"/>
    <w:rPr>
      <w:rFonts w:eastAsiaTheme="majorEastAsia" w:cstheme="majorBidi"/>
      <w:color w:val="272727" w:themeColor="text1" w:themeTint="D8"/>
    </w:rPr>
  </w:style>
  <w:style w:type="paragraph" w:styleId="Ttulo">
    <w:name w:val="Title"/>
    <w:basedOn w:val="Normal"/>
    <w:next w:val="Normal"/>
    <w:link w:val="TtuloCar"/>
    <w:uiPriority w:val="10"/>
    <w:qFormat/>
    <w:rsid w:val="007916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1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1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1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610"/>
    <w:pPr>
      <w:spacing w:before="160"/>
      <w:jc w:val="center"/>
    </w:pPr>
    <w:rPr>
      <w:i/>
      <w:iCs/>
      <w:color w:val="404040" w:themeColor="text1" w:themeTint="BF"/>
    </w:rPr>
  </w:style>
  <w:style w:type="character" w:customStyle="1" w:styleId="CitaCar">
    <w:name w:val="Cita Car"/>
    <w:basedOn w:val="Fuentedeprrafopredeter"/>
    <w:link w:val="Cita"/>
    <w:uiPriority w:val="29"/>
    <w:rsid w:val="00791610"/>
    <w:rPr>
      <w:i/>
      <w:iCs/>
      <w:color w:val="404040" w:themeColor="text1" w:themeTint="BF"/>
    </w:rPr>
  </w:style>
  <w:style w:type="paragraph" w:styleId="Prrafodelista">
    <w:name w:val="List Paragraph"/>
    <w:basedOn w:val="Normal"/>
    <w:uiPriority w:val="34"/>
    <w:qFormat/>
    <w:rsid w:val="00791610"/>
    <w:pPr>
      <w:ind w:left="720"/>
      <w:contextualSpacing/>
    </w:pPr>
  </w:style>
  <w:style w:type="character" w:styleId="nfasisintenso">
    <w:name w:val="Intense Emphasis"/>
    <w:basedOn w:val="Fuentedeprrafopredeter"/>
    <w:uiPriority w:val="21"/>
    <w:qFormat/>
    <w:rsid w:val="00791610"/>
    <w:rPr>
      <w:i/>
      <w:iCs/>
      <w:color w:val="0F4761" w:themeColor="accent1" w:themeShade="BF"/>
    </w:rPr>
  </w:style>
  <w:style w:type="paragraph" w:styleId="Citadestacada">
    <w:name w:val="Intense Quote"/>
    <w:basedOn w:val="Normal"/>
    <w:next w:val="Normal"/>
    <w:link w:val="CitadestacadaCar"/>
    <w:uiPriority w:val="30"/>
    <w:qFormat/>
    <w:rsid w:val="00791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610"/>
    <w:rPr>
      <w:i/>
      <w:iCs/>
      <w:color w:val="0F4761" w:themeColor="accent1" w:themeShade="BF"/>
    </w:rPr>
  </w:style>
  <w:style w:type="character" w:styleId="Referenciaintensa">
    <w:name w:val="Intense Reference"/>
    <w:basedOn w:val="Fuentedeprrafopredeter"/>
    <w:uiPriority w:val="32"/>
    <w:qFormat/>
    <w:rsid w:val="00791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334</Words>
  <Characters>1838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Milena  Albarracin Gualdron</dc:creator>
  <cp:keywords/>
  <dc:description/>
  <cp:lastModifiedBy>Sandra Milena  Albarracin Gualdron</cp:lastModifiedBy>
  <cp:revision>2</cp:revision>
  <dcterms:created xsi:type="dcterms:W3CDTF">2026-08-29T06:00:00Z</dcterms:created>
  <dcterms:modified xsi:type="dcterms:W3CDTF">2026-08-29T06:06:00Z</dcterms:modified>
</cp:coreProperties>
</file>