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pervisor-feedback-closure-matrix-v2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Supervisor feedback closure matrix v2</w:t>
      </w:r>
    </w:p>
    <w:p>
      <w:pPr>
        <w:pStyle w:val="FirstParagraph"/>
      </w:pPr>
      <w:r>
        <w:rPr>
          <w:rFonts w:ascii="Calibri" w:hAnsi="Calibri"/>
        </w:rPr>
        <w:t xml:space="preserve">Version: 2.6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Frozen: 2026-08-10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Candidate branch: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feat/researcher-wizard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Release rule: implementation is not marked release-complete until the named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test passes in CI for an immutable commit, its report is retained, the same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commit is deployed, and the deployment is re-tested.</w:t>
      </w:r>
    </w:p>
    <w:bookmarkStart w:id="20" w:name="status-codes"/>
    <w:p>
      <w:pPr>
        <w:pStyle w:val="Heading2"/>
        <w:keepNext/>
        <w:keepLines/>
      </w:pPr>
      <w:r>
        <w:rPr>
          <w:rFonts w:ascii="Calibri" w:hAnsi="Calibri"/>
        </w:rPr>
        <w:t xml:space="preserve">Status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Local-pass: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production code and a falsifiable local test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CI-pending: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real-browser or release result needs the Draft PR CI run.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CI-pass: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named Draft PR commit and retained artefact satisfy the stated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candidate gate; final main/deployment evidence is still separate.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Manual-NT: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required observation has not been made and is not counted.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Protocol-ready: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complete method exists but no participant data exist.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Blocked: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named external decision, permission or approval is missing.</w:t>
      </w:r>
    </w:p>
    <w:bookmarkEnd w:id="20"/>
    <w:bookmarkStart w:id="21" w:name="a-first-five-code-corrections"/>
    <w:p>
      <w:pPr>
        <w:pStyle w:val="Heading2"/>
        <w:keepNext/>
        <w:keepLines/>
      </w:pPr>
      <w:r>
        <w:rPr>
          <w:rFonts w:ascii="Calibri" w:hAnsi="Calibri"/>
        </w:rPr>
        <w:t xml:space="preserve">A. First five code corrections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Supervisor requirement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Implemented evidence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Falsifiable evidence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Review shows the item statement, selected answer meaning and one direct Change control per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source/src/accessible-nasa-tlx.ts</w:t>
            </w:r>
            <w:r>
              <w:rPr>
                <w:rFonts w:ascii="Calibri" w:hAnsi="Calibri"/>
                <w:sz w:val="15"/>
              </w:rPr>
              <w:t xml:space="preserve">: review records; a declared label for the selected value or, when no such label exists, the declared scale endpoints without invented wording; unique visible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Change item N answer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labels; gaze targets; direct edit and focus return; transactional pending value/input route.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use Brooke's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5, 1, 4, 2, 3, 5, 1, 4, 2, 3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vector and directly assert Mark's Item 3 = 4 case. They also test direct Save and real Cancel-after-selection. Before Save, recovery storage remains on Review with the original value, input route and score; Cancel retains them; Save alone commits. A failure includes a missing prompt, missing declared selected label/endpoint context, invented label, non-unique or non-targetable Change control, opening the wrong item, false cancellation, premature storage, changing another answer or failing to return focus.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A16/A17/A21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A16/A17/A21; then merge only with authority, deploy and smoke-test Item 3 = 4 plus both Save and Cancel on the public build.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code is prefilled from the generated link and remains editable as fallback.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source/src/study.ts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study-conductor.ts</w:t>
            </w:r>
            <w:r>
              <w:rPr>
                <w:rFonts w:ascii="Calibri" w:hAnsi="Calibri"/>
                <w:sz w:val="15"/>
              </w:rPr>
              <w:t xml:space="preserve">: per-link pseudonymous code, validation, hash-navigation reload and committed-session precedence; the Skip link preserves the application hash.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Component and rendered-browser routes cover distinct generated links, same-tab P001 → P002 replacement without a test-only reload, missing/manual/invalid codes, committed correction recovery, Skip focus/hash preservation and final-record identity.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Manual A02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A02; after an authorised deployment, open two distinct generated links, confirm distinct editable codes and no first-screen validation error, exercise Skip, reload and confirm the same identity/session.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Participant introduction is minimal; full audio guidance appears once, not before every item.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Intro/support disclosure and compact in-question controls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the full audio-guidance panel is confined to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bCs/>
                <w:rFonts w:ascii="Calibri" w:hAnsi="Calibri"/>
                <w:b/>
                <w:sz w:val="15"/>
              </w:rPr>
              <w:t xml:space="preserve">Accessibility and audio options (optional)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 the introduction.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regression requires the optional disclosure to start collapsed, one intro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, fewer than 160 visible intro words, and no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.process-overview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.factor-reference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.study-details</w:t>
            </w:r>
            <w:r>
              <w:rPr>
                <w:rFonts w:ascii="Calibri" w:hAnsi="Calibri"/>
                <w:sz w:val="15"/>
              </w:rPr>
              <w:t xml:space="preserve">;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.audio-guidance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be absent after Start and on Review. Component coverage also checks the NASA-TLX rating, pairwise and review route.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9a8c849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31392425368</w:t>
            </w:r>
            <w:r>
              <w:rPr>
                <w:rFonts w:ascii="Calibri" w:hAnsi="Calibri"/>
                <w:sz w:val="15"/>
              </w:rPr>
              <w:t xml:space="preserve">. This proves bounded removal of AQP-owned boilerplate and repetition, not reduced cognitive burden or short researcher-supplied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introPrompt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content. Manual A01/A03/A04 and final deployment acceptance remain pending.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Execute A01/A03/A04; after an authorised deployment, inspect intro/item/pairwise/review. Treat the word limit as a regression threshold, not evidence of cognitive accessibility.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Canonical definition hash is in configuration and result and is verified at load and submission.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Version 4 configuration/result schemas, canonical SHA-256, immutable result definition snapshot, CSV/Qualtrics fields and fail-closed checks. The Qualtrics parent requires a valid fingerprint plus matching snapshot metadata and writes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only after every staged field succeeds.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Missing/stale hash link, submission and stored-result tamper tests; export reconstruction; missing/malformed runtime fingerprint and missing snapshot rejection; injected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AQP_RAW_05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staging failure with no acceptance marker.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: 208/208 deterministic tests, 9/9 rendered-browser tests, 3/3 browser-support routes and release synchronisation passed.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Re-test tampered link/submission and one fresh synthetic Qualtrics row after an authorised deployment. Confirm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AQP_ACCEPTED = 1</w:t>
            </w:r>
            <w:r>
              <w:rPr>
                <w:rFonts w:ascii="Calibri" w:hAnsi="Calibri"/>
                <w:sz w:val="15"/>
              </w:rPr>
              <w:t xml:space="preserve">, a valid definition hash and reconstructable raw record. The fingerprint proves internal consistency and identifiability, not authenticated authorship or resistance to replacement of both unsigned definition and hash.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Real-browser axe scans run in CI and publish a report.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Playwright specification,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verify.yml</w:t>
            </w:r>
            <w:r>
              <w:rPr>
                <w:rFonts w:ascii="Calibri" w:hAnsi="Calibri"/>
                <w:sz w:val="15"/>
              </w:rPr>
              <w:t xml:space="preserve">, JSON/HTML publisher and uploaded Playwright traces/results.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S01–S27 inventory × five profiles = 135 required rows; missing rows, violations, incomplete checks, overflow and target-size failures are reported.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: 27 states × 5 profiles = 135/135 rows; 0 automatically detected axe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results involving 20 node occurrences retained for manual inspection; 0 horizontal-overflow failures; 0 critical target-size failures; and 0 missing state/profile combinations. Retained rendered artifact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9067181758</w:t>
            </w:r>
            <w:r>
              <w:rPr>
                <w:rFonts w:ascii="Calibri" w:hAnsi="Calibri"/>
                <w:sz w:val="15"/>
              </w:rPr>
              <w:t xml:space="preserve">, SHA-256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52b4631a98d03857d10356632bf09a3c7ac3627a1f7dca822b9052f2a02a8adb</w:t>
            </w:r>
            <w:r>
              <w:rPr>
                <w:rFonts w:ascii="Calibri" w:hAnsi="Calibri"/>
                <w:sz w:val="15"/>
              </w:rPr>
              <w:t xml:space="preserve">. This is bounded browser automation, not a complete WCAG or assistive-technology usability result.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Manually determine and record every overlap-dependent contrast occurrence; repeat the automated run on final main/release SHA.</w:t>
            </w:r>
          </w:p>
        </w:tc>
      </w:tr>
    </w:tbl>
    <w:bookmarkEnd w:id="21"/>
    <w:bookmarkStart w:id="22" w:name="Xb1d9d79430ef10e0abb050ce7d647200acfc939"/>
    <w:p>
      <w:pPr>
        <w:pStyle w:val="Heading2"/>
        <w:keepNext/>
        <w:keepLines/>
      </w:pPr>
      <w:r>
        <w:rPr>
          <w:rFonts w:ascii="Calibri" w:hAnsi="Calibri"/>
        </w:rPr>
        <w:t xml:space="preserve">B. Latest feedback, section 1 — manual technical accessibility audit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artefact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Completion rule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NVDA/Firefox, NVDA/Chrome, VoiceOver/Safari and one OS voice-control walkthrough.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docs/manual-audit/AQP-MANUAL-AT-AUDIT-v1.0.md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(protocol v1.3).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Manual-NT on all four routes.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exact OS/browser/AT versions and replace every applicable NT with P/F/NA plus evidence ID.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Cover every participant state, including pairwise, review, error, voice listening/pending and saved-progress offer.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S01–S27 maps to A01–A33 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docs/PARTICIPANT-RUNNER-STATE-INVENTORY-v1.md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Run A01–A33 on the applicable routes; an untested state cannot be inferred from source or axe.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Report by WCAG criterion with exact announcements and treat unusable markup as fail.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WCAG route summary, exact-speech fields, P/F/NA/NT rules and S1–S3 issue log in the audit.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observations NT.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Transcribe actual speech, including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[no announcement]</w:t>
            </w:r>
            <w:r>
              <w:rPr>
                <w:rFonts w:ascii="Calibri" w:hAnsi="Calibri"/>
                <w:sz w:val="15"/>
              </w:rPr>
              <w:t xml:space="preserve">; zero NT before calling the audit complete.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a versioned audit and bound the claim.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Audit publication wording and matrix C2.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Document ready; C2 Not evidenced.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Publish only after execution; state technical audit only and no disabled-user benefit evidence.</w:t>
            </w:r>
          </w:p>
        </w:tc>
      </w:tr>
    </w:tbl>
    <w:bookmarkEnd w:id="22"/>
    <w:bookmarkStart w:id="23" w:name="Xfa5c0594cceacd298a1a921dbf5fea80a7de467"/>
    <w:p>
      <w:pPr>
        <w:pStyle w:val="Heading2"/>
        <w:keepNext/>
        <w:keepLines/>
      </w:pPr>
      <w:r>
        <w:rPr>
          <w:rFonts w:ascii="Calibri" w:hAnsi="Calibri"/>
        </w:rPr>
        <w:t xml:space="preserve">C. Latest feedback, section 2 — quantified technical evaluation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22"/>
        <w:gridCol w:w="2822"/>
        <w:gridCol w:w="2822"/>
        <w:gridCol w:w="2822"/>
        <w:gridCol w:w="282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evaluation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Reproducible artefact</w:t>
            </w:r>
          </w:p>
        </w:tc>
        <w:tc>
          <w:tcPr>
            <w:vAlign w:val="top"/>
            <w:tcW w:type="dxa" w:w="282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quantified result</w:t>
            </w:r>
          </w:p>
        </w:tc>
        <w:tc>
          <w:tcPr>
            <w:vAlign w:val="top"/>
            <w:tcW w:type="dxa" w:w="28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Status/gap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T1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Programmatic fidelity round trip against independent truth for built-ins and every QSF/LSS/LSG/LSQ fixture.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docs/evidence/fidelity-source-of-truth.json</w:t>
            </w:r>
            <w:r>
              <w:rPr>
                <w:rFonts w:ascii="Calibri" w:hAnsi="Calibri"/>
                <w:sz w:val="15"/>
              </w:rPr>
              <w:t xml:space="preserve">,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source/tests/technical-evaluation.test.ts</w:t>
            </w:r>
            <w:r>
              <w:rPr>
                <w:rFonts w:ascii="Calibri" w:hAnsi="Calibri"/>
                <w:sz w:val="15"/>
              </w:rPr>
              <w:t xml:space="preserve">, generated JSON/HTML 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 cases, 31 items, 234 field comparisons,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Only three distributable built-ins are present; UEQ-S is excluded pending redistribution permission. This is a disclosed scope shortfall, not a fourth pass.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T2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Twelve-row adversarial battery and zero silently altered.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Same technical test/report.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12 inputs: 10 specific refusals, 2 generic XML refusals, 0 accepted losses, 0 silently altered.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T3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runner state at 1280, 768, 320 and 200% zoom, with build artefact.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Frozen state inventory, Playwright/axe spec, CI workflow and report publisher.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135/135 required state/profile rows; 0 violations; 13 incomplete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color-contrast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scan results involving 20 node occurrences; 0 overflow failures; 0 critical target-size failures; and 0 missing rows.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Deterministic fixtures are labelled where external host/hardware callbacks are simulated. Incomplete contrast occurrences require recorded inspection and are not automatic passes.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T4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Cross-browser support matrix and explicit Firefox/Web Speech limitation.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source/tests/e2e-support/cross-browser-support.spec.ts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docs/CROSS-BROWSER-SUPPORT-MATRIX.md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Capability test passed the production runner smoke route in Chromium, Firefox and Playwright WebKit; SpeechRecognition present in Chromium and absent in Firefox/WebKit.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WebKit/Linux is not Safari/VoiceOver evidence and OS voice control remains not assessed.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T5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Reconstruct definition, response set and score from export alone.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reconstruction rows and self-contained result definition.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8/8 exports and 31/31 responses reconstructed, 0 mismatches.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; final main/release reproduction pending.</w:t>
            </w:r>
          </w:p>
        </w:tc>
      </w:tr>
      <w:tr>
        <w:trPr>
          <w:cantSplit/>
        </w:trPr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T6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Quantify definition-driven reuse rather than assume it.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reuse/allowlist rows.</w:t>
            </w:r>
          </w:p>
        </w:tc>
        <w:tc>
          <w:tcPr>
            <w:tcW w:type="dxa" w:w="282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5 compatible imports admitted as data with 0 instrument-specific production files; 96/96 shared contract executions with 0 test copies; 16/16 allowlist combinations match.</w:t>
            </w:r>
          </w:p>
        </w:tc>
        <w:tc>
          <w:tcPr>
            <w:tcW w:type="dxa" w:w="28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 A new scorer/response structure remains an executable boundary and is not a data-only pass.</w:t>
            </w:r>
          </w:p>
        </w:tc>
      </w:tr>
    </w:tbl>
    <w:bookmarkEnd w:id="23"/>
    <w:bookmarkStart w:id="24" w:name="d-latest-feedback-section-3--matrix-v6"/>
    <w:p>
      <w:pPr>
        <w:pStyle w:val="Heading2"/>
        <w:keepNext/>
        <w:keepLines/>
      </w:pPr>
      <w:r>
        <w:rPr>
          <w:rFonts w:ascii="Calibri" w:hAnsi="Calibri"/>
        </w:rPr>
        <w:t xml:space="preserve">D. Latest feedback, section 3 — matrix v6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Remove C6 rather than leave it unevidenced.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C6 is in a Removed row, not an active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C2 a decision rule for the new audit design.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C2 requires 135 browser rows plus complete manual P/F/NA observations and no S3 failure on a supported route.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evidence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Give C5 a decision rule for the optional observed researcher study.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C5 freezes success, time, assist/error, discrepancy, SEQ/SUS and second-coder evidence and prohibits significance tests.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Rule complete; study Not evidenced.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Make C7's definition hash checkable.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C7 requires canonical hash agreement, rejection of missing/stale Version 4 hashes and export-only reconstruction. Qualtrics host acceptance additionally requires a schema-complete definition snapshot and a last-write acceptance marker.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4fe422c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 run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31399712181</w:t>
            </w:r>
            <w:r>
              <w:rPr>
                <w:rFonts w:ascii="Calibri" w:hAnsi="Calibri"/>
                <w:sz w:val="15"/>
              </w:rPr>
              <w:t xml:space="preserve">; deployment and fresh synthetic Qualtrics-row verification remain pending.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Fill every evidence status, including Not evidenced.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docs/AQP-EVALUATION-MATRIX-v6.md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v6.2 has a status for every active row.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for the candidate state; update only after new evidence.</w:t>
            </w:r>
          </w:p>
        </w:tc>
      </w:tr>
    </w:tbl>
    <w:bookmarkEnd w:id="24"/>
    <w:bookmarkStart w:id="25" w:name="Xf1191037a1d04ca3ee7fc482a87a5190dad0f4c"/>
    <w:p>
      <w:pPr>
        <w:pStyle w:val="Heading2"/>
        <w:keepNext/>
        <w:keepLines/>
      </w:pPr>
      <w:r>
        <w:rPr>
          <w:rFonts w:ascii="Calibri" w:hAnsi="Calibri"/>
        </w:rPr>
        <w:t xml:space="preserve">E. Latest feedback, section 4 — optional observed researcher protocol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Frozen 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Qualtrics start/end state.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frozen UCL Qualtrics template already contains the ten SUS items, values, required setting, one-question-per-page structure and checked Brooke scoring; participants do not type from scratch. Required end state is identical and independently checked.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template/version/account and final URL must be frozen before preregistration.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Counterbalance order.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Within-participant AQ/QA allocation, balanced before recruitment and recorded before each session.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Six to eight participants; descriptive/per-participant reporting; no significance tests.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Per-participant rows plus n, median, minimum and maximum; no inferential test or general population claim.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Define success, assist and error.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Operational definitions, 20-minute limit, end-state checklist, self-correction and critical-error rules are frozen in protocol v1.1.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script, recording and independent coding.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Fixed observer script; screen/shared-window and session audio recorded with consent; second coder independently codes at least two sessions before consensus.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ethics/storage/coder activation fields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Mild deception and debrief.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General advance disclosure, sealed private source/altered definition, immediate exact debrief and seven-day withdrawal route. Exact discrepancy is not in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Protocol-ready; amendment approval required.</w:t>
            </w:r>
          </w:p>
        </w:tc>
      </w:tr>
    </w:tbl>
    <w:bookmarkEnd w:id="25"/>
    <w:bookmarkStart w:id="26" w:name="Xde82fd99f856364bd118507d710bd0671cab5e1"/>
    <w:p>
      <w:pPr>
        <w:pStyle w:val="Heading2"/>
        <w:keepNext/>
        <w:keepLines/>
      </w:pPr>
      <w:r>
        <w:rPr>
          <w:rFonts w:ascii="Calibri" w:hAnsi="Calibri"/>
        </w:rPr>
        <w:t xml:space="preserve">F. Latest feedback, section 5 — ethics and dissertation boundary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342"/>
        <w:gridCol w:w="4776"/>
        <w:gridCol w:w="4994"/>
      </w:tblGrid>
      <w:tr>
        <w:trPr>
          <w:tblHeader w:val="true"/>
          <w:tblHeader w:val="true"/>
          <w:cantSplit/>
        </w:trPr>
        <w:tc>
          <w:tcPr>
            <w:vAlign w:val="top"/>
            <w:tcW w:type="dxa" w:w="434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47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</w:t>
            </w:r>
          </w:p>
        </w:tc>
        <w:tc>
          <w:tcPr>
            <w:vAlign w:val="top"/>
            <w:tcW w:type="dxa" w:w="499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Dissertation must stand without sessions.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Technical evaluation T1–T6 plus manual technical audit form the core; optional observed sessions cannot delay the draft.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Candidate technical CI complete; manual audit and overlap-dependent contrast determinations still NT.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amendment by 11 August; if not approved by 18 August, omit sessions from 21 August draft.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Private template-based amendment pack and activation checklist prepared outside the public repository.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 pack ready; exact approval identity, route, storage, coder, retention alignment and signatures are blocked.</w:t>
            </w:r>
          </w:p>
        </w:tc>
      </w:tr>
      <w:tr>
        <w:trPr>
          <w:cantSplit/>
        </w:trPr>
        <w:tc>
          <w:tcPr>
            <w:tcW w:type="dxa" w:w="434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Record screens and disclose possible identifying capture, storage, retention and destruction.</w:t>
            </w:r>
          </w:p>
        </w:tc>
        <w:tc>
          <w:tcPr>
            <w:tcW w:type="dxa" w:w="47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PIS, consent, risk assessment and amendment narrative describe shared-window/session-audio recording, incidental identifiers, 24-hour RDSS transfer, deletion of working copies and proposed raw-recording destruction date.</w:t>
            </w:r>
          </w:p>
        </w:tc>
        <w:tc>
          <w:tcPr>
            <w:tcW w:type="dxa" w:w="499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Drafted; PI must confirm exact RDSS path and alignment with existing approval before submission.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The uploaded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Project ID 1165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Tianzhe Dong project title belong to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different study and are explicitly excluded. The AQP approval ID and exact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approved title were not present in the supplied files; they must be copied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original AQP approval record or provided by the applicant/PI.</w:t>
      </w:r>
    </w:p>
    <w:bookmarkEnd w:id="26"/>
    <w:bookmarkStart w:id="27" w:name="Xdd8442abbb3056246208e702e0787967df1a980"/>
    <w:p>
      <w:pPr>
        <w:pStyle w:val="Heading2"/>
        <w:keepNext/>
        <w:keepLines/>
      </w:pPr>
      <w:r>
        <w:rPr>
          <w:rFonts w:ascii="Calibri" w:hAnsi="Calibri"/>
        </w:rPr>
        <w:t xml:space="preserve">G. Latest feedback, section 6 — repeated endpoint label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605"/>
        <w:gridCol w:w="3908"/>
        <w:gridCol w:w="3908"/>
        <w:gridCol w:w="3691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60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Requirement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Implementation/test</w:t>
            </w:r>
          </w:p>
        </w:tc>
        <w:tc>
          <w:tcPr>
            <w:vAlign w:val="top"/>
            <w:tcW w:type="dxa" w:w="39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Current status</w:t>
            </w:r>
          </w:p>
        </w:tc>
        <w:tc>
          <w:tcPr>
            <w:vAlign w:val="top"/>
            <w:tcW w:type="dxa" w:w="369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Final gate</w:t>
            </w:r>
          </w:p>
        </w:tc>
      </w:tr>
      <w:tr>
        <w:trPr>
          <w:cantSplit/>
        </w:trPr>
        <w:tc>
          <w:tcPr>
            <w:tcW w:type="dxa" w:w="260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Keep the legend as the announced endpoint source; keep anchor row aria-hidden; suppress only an option label identical to its endpoint; retain distinct middle German labels.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visibleResponseLabel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in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accessible-nasa-tlx.ts</w:t>
            </w:r>
            <w:r>
              <w:rPr>
                <w:rFonts w:ascii="Calibri" w:hAnsi="Calibri"/>
                <w:sz w:val="15"/>
              </w:rPr>
              <w:t xml:space="preserve">; component regression and S27 real-browser case.</w:t>
            </w:r>
          </w:p>
        </w:tc>
        <w:tc>
          <w:tcPr>
            <w:tcW w:type="dxa" w:w="39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CI-pass on candidate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816e1c4</w:t>
            </w:r>
            <w:r>
              <w:rPr>
                <w:rFonts w:ascii="Calibri" w:hAnsi="Calibri"/>
                <w:sz w:val="15"/>
              </w:rPr>
              <w:t xml:space="preserve">.</w:t>
            </w:r>
          </w:p>
        </w:tc>
        <w:tc>
          <w:tcPr>
            <w:tcW w:type="dxa" w:w="369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Deployed visual/accessibility-tree inspection.</w:t>
            </w:r>
          </w:p>
        </w:tc>
      </w:tr>
    </w:tbl>
    <w:bookmarkEnd w:id="27"/>
    <w:bookmarkStart w:id="29" w:name="reproduction-commands"/>
    <w:p>
      <w:pPr>
        <w:pStyle w:val="Heading2"/>
        <w:keepNext/>
        <w:keepLines/>
      </w:pPr>
      <w:r>
        <w:rPr>
          <w:rFonts w:ascii="Calibri" w:hAnsi="Calibri"/>
        </w:rPr>
        <w:t xml:space="preserve">Reproduction commands</w:t>
      </w:r>
    </w:p>
    <w:p>
      <w:pPr>
        <w:pStyle w:val="FirstParagraph"/>
      </w:pPr>
      <w:r>
        <w:rPr>
          <w:rFonts w:ascii="Calibri" w:hAnsi="Calibri"/>
        </w:rPr>
        <w:t xml:space="preserve">From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source/</w:t>
      </w:r>
      <w:r>
        <w:rPr>
          <w:rFonts w:ascii="Calibri" w:hAnsi="Calibri"/>
        </w:rPr>
        <w:t xml:space="preserve">:</w:t>
      </w:r>
    </w:p>
    <w:p>
      <w:pPr>
        <w:pStyle w:val="SourceCode"/>
      </w:pPr>
      <w:r>
        <w:rPr>
          <w:rStyle w:val="VerbatimChar"/>
          <w:rFonts w:ascii="Calibri" w:hAnsi="Calibri"/>
        </w:rPr>
        <w:t xml:space="preserve">npm ci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test -- --run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report:technical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test:browser-support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report:browser-support</w:t>
      </w:r>
      <w:r>
        <w:rPr>
          <w:rFonts w:ascii="Calibri" w:hAnsi="Calibri"/>
        </w:rPr>
        <w:br/>
      </w:r>
      <w:r>
        <w:rPr>
          <w:rStyle w:val="VerbatimChar"/>
          <w:rFonts w:ascii="Calibri" w:hAnsi="Calibri"/>
        </w:rPr>
        <w:t xml:space="preserve">npm run build:release</w:t>
      </w:r>
    </w:p>
    <w:p>
      <w:pPr>
        <w:pStyle w:val="FirstParagraph"/>
      </w:pPr>
      <w:r>
        <w:rPr>
          <w:rFonts w:ascii="Calibri" w:hAnsi="Calibri"/>
        </w:rPr>
        <w:t xml:space="preserve">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result in CI run</w:t>
      </w:r>
      <w:r>
        <w:rPr>
          <w:rFonts w:ascii="Calibri" w:hAnsi="Calibri"/>
        </w:rPr>
        <w:t xml:space="preserve"> </w:t>
      </w:r>
      <w:hyperlink r:id="rId28">
        <w:r>
          <w:rPr>
            <w:rStyle w:val="Hyperlink"/>
          </w:rPr>
          <w:t xml:space="preserve">31399712181</w:t>
        </w:r>
      </w:hyperlink>
      <w:r>
        <w:rPr>
          <w:rFonts w:ascii="Calibri" w:hAnsi="Calibri"/>
        </w:rPr>
        <w:t xml:space="preserve">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20/20 files and 208/208 tests passed; 8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fidelity cases, 31 items and 234 comparisons with 0 mismatch; 12 adversarial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inputs with 0 silent alteration; 8/8 exports and 31/31 responses reconstructed;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5 data-only compatible imports, 96/96 shared contract executions and 16/16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allowlist checks. The rendered artefact contains 135/135 state/profile rows,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0 violations, 13 incomplete contrast results involving 20 node occurrences, 0 overflow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failures, 0 critical target-size failures and no missing row.</w:t>
      </w:r>
    </w:p>
    <w:bookmarkEnd w:id="29"/>
    <w:bookmarkStart w:id="30" w:name="release-complete-checklist"/>
    <w:p>
      <w:pPr>
        <w:pStyle w:val="Heading2"/>
        <w:keepNext/>
        <w:keepLines/>
      </w:pPr>
      <w:r>
        <w:rPr>
          <w:rFonts w:ascii="Calibri" w:hAnsi="Calibri"/>
        </w:rPr>
        <w:t xml:space="preserve">Release-complete checklist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Push candidate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4fe422c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Draft PR #68.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Obtain current-candidate CI with 135/135 rendered state/profile rows.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☒ Retain quantified technical, rendered accessibility and cross-browser artefacts tied to the commit SHA (run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31399712181</w:t>
      </w:r>
      <w:r>
        <w:rPr>
          <w:rFonts w:ascii="Calibri" w:hAnsi="Calibri"/>
        </w:rPr>
        <w:t xml:space="preserve">; rendered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9067181758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52b4631a98d03857d10356632bf09a3c7ac3627a1f7dca822b9052f2a02a8adb</w:t>
      </w:r>
      <w:r>
        <w:rPr>
          <w:rFonts w:ascii="Calibri" w:hAnsi="Calibri"/>
        </w:rPr>
        <w:t xml:space="preserve">; quantified artifact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9067100601</w:t>
      </w:r>
      <w:r>
        <w:rPr>
          <w:rFonts w:ascii="Calibri" w:hAnsi="Calibri"/>
        </w:rPr>
        <w:t xml:space="preserve">, SHA-256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10bc877be89e9ed32c397e4d15a36aae324389a871386280661e3b74f4cd8686</w:t>
      </w:r>
      <w:r>
        <w:rPr>
          <w:rFonts w:ascii="Calibri" w:hAnsi="Calibri"/>
        </w:rPr>
        <w:t xml:space="preserve">).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Inspect and record all 20 reported overlap-dependent axe contrast occurrences; do not count them as 20 unique defects or as automatic passes.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Obtain review/merge authority and deploy that verified commit to Pages.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Re-test F1–F4 and the German endpoint case on the deployment. F1 includes changing item 2 and cancelling before a separate Save run; verify answer, route, score, recovery record, focus and visible label command.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Execute A01–A33 on R1–R4 and retain exact observations.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Record failures honestly, fix them and re-run; do not convert NT/NA into pass.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Update matrix statuses only from the resulting evidence.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☐ Send the deployed URL, immutable SHA, CI/artifact links, matrix v6.3 and completed audit to the supervisor.</w:t>
      </w:r>
    </w:p>
    <w:bookmarkEnd w:id="30"/>
    <w:bookmarkEnd w:id="31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hyperlink" Target="https://github.com/SaSoup-YR/accessible-questionnaire-platform/actions/runs/31399712181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SaSoup-YR/accessible-questionnaire-platform/actions/runs/313997121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 feedback closure matrix v2</dc:title>
  <dc:creator>Yurui Wang</dc:creator>
  <cp:keywords>AQP, evaluation, accessibility, questionnaire</cp:keywords>
  <dcterms:created xsi:type="dcterms:W3CDTF">2026-08-10T15:09:05Z</dcterms:created>
  <dcterms:modified xsi:type="dcterms:W3CDTF">2026-08-10T15:09:05Z</dcterms:modified>
  <dc:subject>Version 2.6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