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aqp-evaluation-matrix-v6"/>
    <w:p>
      <w:pPr>
        <w:pStyle w:val="Heading1"/>
        <w:keepNext/>
        <w:keepLines/>
        <w:spacing w:before="160" w:after="80"/>
      </w:pPr>
      <w:r>
        <w:rPr>
          <w:rFonts w:ascii="Calibri" w:hAnsi="Calibri"/>
          <w:b/>
          <w:color w:val="000000"/>
          <w:sz w:val="46"/>
        </w:rPr>
        <w:t xml:space="preserve">AQP evaluation matrix v6</w:t>
      </w:r>
    </w:p>
    <w:p>
      <w:pPr>
        <w:pStyle w:val="FirstParagraph"/>
      </w:pPr>
      <w:r>
        <w:rPr>
          <w:rFonts w:ascii="Calibri" w:hAnsi="Calibri"/>
        </w:rPr>
        <w:t xml:space="preserve">Version: 6.2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Revised: 2026-08-10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Status rule: only evidence tied to the evaluated release is marked Evidenced</w:t>
      </w:r>
    </w:p>
    <w:tbl>
      <w:tblPr>
        <w:tblW w:type="dxa" w:w="14112"/>
        <w:jc w:val="left"/>
        <w:tblLayout w:type="fixed"/>
        <w:tblLook w:firstRow="1" w:lastRow="0" w:firstColumn="0" w:lastColumn="0" w:noHBand="0" w:noVBand="0" w:val="0020"/>
        <w:tblInd w:type="dxa" w:w="120"/>
      </w:tblPr>
      <w:tblGrid>
        <w:gridCol w:w="648"/>
        <w:gridCol w:w="2376"/>
        <w:gridCol w:w="3168"/>
        <w:gridCol w:w="3024"/>
        <w:gridCol w:w="2088"/>
        <w:gridCol w:w="2808"/>
      </w:tblGrid>
      <w:tr>
        <w:trPr>
          <w:tblHeader w:val="true"/>
          <w:tblHeader w:val="true"/>
          <w:cantSplit/>
        </w:trPr>
        <w:tc>
          <w:tcPr>
            <w:vAlign w:val="top"/>
            <w:tcW w:type="dxa" w:w="648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b/>
                <w:sz w:val="16"/>
              </w:rPr>
              <w:t xml:space="preserve">ID</w:t>
            </w:r>
          </w:p>
        </w:tc>
        <w:tc>
          <w:tcPr>
            <w:vAlign w:val="top"/>
            <w:tcW w:type="dxa" w:w="2376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b/>
                <w:sz w:val="16"/>
              </w:rPr>
              <w:t xml:space="preserve">Bounded claim</w:t>
            </w:r>
          </w:p>
        </w:tc>
        <w:tc>
          <w:tcPr>
            <w:vAlign w:val="top"/>
            <w:tcW w:type="dxa" w:w="3168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b/>
                <w:sz w:val="16"/>
              </w:rPr>
              <w:t xml:space="preserve">Metric and operational calculation</w:t>
            </w:r>
          </w:p>
        </w:tc>
        <w:tc>
          <w:tcPr>
            <w:vAlign w:val="top"/>
            <w:tcW w:type="dxa" w:w="3024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b/>
                <w:sz w:val="16"/>
              </w:rPr>
              <w:t xml:space="preserve">Decision rule</w:t>
            </w:r>
          </w:p>
        </w:tc>
        <w:tc>
          <w:tcPr>
            <w:vAlign w:val="top"/>
            <w:tcW w:type="dxa" w:w="2088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b/>
                <w:sz w:val="16"/>
              </w:rPr>
              <w:t xml:space="preserve">Evidence source</w:t>
            </w:r>
          </w:p>
        </w:tc>
        <w:tc>
          <w:tcPr>
            <w:vAlign w:val="top"/>
            <w:tcW w:type="dxa" w:w="2808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b/>
                <w:sz w:val="16"/>
              </w:rPr>
              <w:t xml:space="preserve">Current evidence status</w:t>
            </w:r>
          </w:p>
        </w:tc>
      </w:tr>
      <w:tr>
        <w:trPr>
          <w:cantSplit/>
        </w:trPr>
        <w:tc>
          <w:tcPr>
            <w:tcW w:type="dxa" w:w="648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6"/>
              </w:rPr>
              <w:t xml:space="preserve">C1</w:t>
            </w:r>
          </w:p>
        </w:tc>
        <w:tc>
          <w:tcPr>
            <w:tcW w:type="dxa" w:w="2376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6"/>
              </w:rPr>
              <w:t xml:space="preserve">AQP implements bounded definition-driven reuse: supported questionnaire content is loaded through a shared runner and workflow, while response structures, scorers and optional supports remain explicit executable boundaries. It is not questionnaire-independent.</w:t>
            </w:r>
          </w:p>
        </w:tc>
        <w:tc>
          <w:tcPr>
            <w:tcW w:type="dxa" w:w="3168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bCs/>
                <w:rFonts w:ascii="Calibri" w:hAnsi="Calibri"/>
                <w:b/>
                <w:sz w:val="16"/>
              </w:rPr>
              <w:t xml:space="preserve">Compatible data-only admission:</w:t>
            </w:r>
            <w:r>
              <w:rPr>
                <w:rFonts w:ascii="Calibri" w:hAnsi="Calibri"/>
                <w:sz w:val="16"/>
              </w:rPr>
              <w:t xml:space="preserve"> </w:t>
            </w:r>
            <w:r>
              <w:rPr>
                <w:rFonts w:ascii="Calibri" w:hAnsi="Calibri"/>
                <w:sz w:val="16"/>
              </w:rPr>
              <w:t xml:space="preserve">compatible imported definitions completing the shared production path, with instrument-specific production extension files required reported separately.</w:t>
            </w:r>
            <w:r>
              <w:rPr>
                <w:rFonts w:ascii="Calibri" w:hAnsi="Calibri"/>
                <w:sz w:val="16"/>
              </w:rPr>
              <w:t xml:space="preserve"> </w:t>
            </w:r>
            <w:r>
              <w:rPr>
                <w:bCs/>
                <w:rFonts w:ascii="Calibri" w:hAnsi="Calibri"/>
                <w:b/>
                <w:sz w:val="16"/>
              </w:rPr>
              <w:t xml:space="preserve">Shared contract reuse:</w:t>
            </w:r>
            <w:r>
              <w:rPr>
                <w:rFonts w:ascii="Calibri" w:hAnsi="Calibri"/>
                <w:sz w:val="16"/>
              </w:rPr>
              <w:t xml:space="preserve"> </w:t>
            </w:r>
            <w:r>
              <w:rPr>
                <w:rFonts w:ascii="Calibri" w:hAnsi="Calibri"/>
                <w:sz w:val="16"/>
              </w:rPr>
              <w:t xml:space="preserve">completed case × contract executions ÷ all required case × contract executions, using one unchanged 12-contract function.</w:t>
            </w:r>
            <w:r>
              <w:rPr>
                <w:rFonts w:ascii="Calibri" w:hAnsi="Calibri"/>
                <w:sz w:val="16"/>
              </w:rPr>
              <w:t xml:space="preserve"> </w:t>
            </w:r>
            <w:r>
              <w:rPr>
                <w:bCs/>
                <w:rFonts w:ascii="Calibri" w:hAnsi="Calibri"/>
                <w:b/>
                <w:sz w:val="16"/>
              </w:rPr>
              <w:t xml:space="preserve">Allowlist correctness:</w:t>
            </w:r>
            <w:r>
              <w:rPr>
                <w:rFonts w:ascii="Calibri" w:hAnsi="Calibri"/>
                <w:sz w:val="16"/>
              </w:rPr>
              <w:t xml:space="preserve"> </w:t>
            </w:r>
            <w:r>
              <w:rPr>
                <w:rFonts w:ascii="Calibri" w:hAnsi="Calibri"/>
                <w:sz w:val="16"/>
              </w:rPr>
              <w:t xml:space="preserve">declaration, rendered control and configuration gate agreeing ÷ checked definition × support combinations.</w:t>
            </w:r>
          </w:p>
        </w:tc>
        <w:tc>
          <w:tcPr>
            <w:tcW w:type="dxa" w:w="302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6"/>
              </w:rPr>
              <w:t xml:space="preserve">At least two compatible definitions complete with 0 instrument-specific production extension files; shared contract reuse is 100% with 0 instrument-specific contract copies; allowlist agreement is 100%. A new scorer or response structure is reported as executable boundary extension, not a data-only platform pass.</w:t>
            </w:r>
          </w:p>
        </w:tc>
        <w:tc>
          <w:tcPr>
            <w:tcW w:type="dxa" w:w="2088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6"/>
              </w:rPr>
              <w:t xml:space="preserve">Quantified production-path reuse/allowlist test and machine-readable technical report.</w:t>
            </w:r>
          </w:p>
        </w:tc>
        <w:tc>
          <w:tcPr>
            <w:tcW w:type="dxa" w:w="2808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bCs/>
                <w:rFonts w:ascii="Calibri" w:hAnsi="Calibri"/>
                <w:b/>
                <w:sz w:val="16"/>
              </w:rPr>
              <w:t xml:space="preserve">Evidenced locally; PR/final-release verification pending.</w:t>
            </w:r>
            <w:r>
              <w:rPr>
                <w:rFonts w:ascii="Calibri" w:hAnsi="Calibri"/>
                <w:sz w:val="16"/>
              </w:rPr>
              <w:t xml:space="preserve"> </w:t>
            </w:r>
            <w:r>
              <w:rPr>
                <w:rFonts w:ascii="Calibri" w:hAnsi="Calibri"/>
                <w:sz w:val="16"/>
              </w:rPr>
              <w:t xml:space="preserve">Five imported definitions completed as data with 0 instrument-specific production files, 96/96 shared case-contract executions used one function with 0 copies, and 16/16 allowlist combinations matched. The broader “questionnaire-independent” claim is withdrawn.</w:t>
            </w:r>
          </w:p>
        </w:tc>
      </w:tr>
      <w:tr>
        <w:trPr>
          <w:cantSplit/>
        </w:trPr>
        <w:tc>
          <w:tcPr>
            <w:tcW w:type="dxa" w:w="648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6"/>
              </w:rPr>
              <w:t xml:space="preserve">C2</w:t>
            </w:r>
          </w:p>
        </w:tc>
        <w:tc>
          <w:tcPr>
            <w:tcW w:type="dxa" w:w="2376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6"/>
              </w:rPr>
              <w:t xml:space="preserve">For the named release and configurations only, participant screens satisfy the pre-specified automated browser checks and manual technical assistive-technology checks. No benefit or usability claim for disabled users is made.</w:t>
            </w:r>
          </w:p>
        </w:tc>
        <w:tc>
          <w:tcPr>
            <w:tcW w:type="dxa" w:w="3168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bCs/>
                <w:rFonts w:ascii="Calibri" w:hAnsi="Calibri"/>
                <w:b/>
                <w:sz w:val="16"/>
              </w:rPr>
              <w:t xml:space="preserve">Rendered browser:</w:t>
            </w:r>
            <w:r>
              <w:rPr>
                <w:rFonts w:ascii="Calibri" w:hAnsi="Calibri"/>
                <w:sz w:val="16"/>
              </w:rPr>
              <w:t xml:space="preserve"> </w:t>
            </w:r>
            <w:r>
              <w:rPr>
                <w:rFonts w:ascii="Calibri" w:hAnsi="Calibri"/>
                <w:sz w:val="16"/>
              </w:rPr>
              <w:t xml:space="preserve">passed state/profile scans ÷ 135 required scans (27 structurally distinct states × 5 profiles), with axe violations, incomplete checks, overflow and target size reported. Fixture-induced external-service/hardware states are identified row by row.</w:t>
            </w:r>
            <w:r>
              <w:rPr>
                <w:rFonts w:ascii="Calibri" w:hAnsi="Calibri"/>
                <w:sz w:val="16"/>
              </w:rPr>
              <w:t xml:space="preserve"> </w:t>
            </w:r>
            <w:r>
              <w:rPr>
                <w:bCs/>
                <w:rFonts w:ascii="Calibri" w:hAnsi="Calibri"/>
                <w:b/>
                <w:sz w:val="16"/>
              </w:rPr>
              <w:t xml:space="preserve">Manual AT:</w:t>
            </w:r>
            <w:r>
              <w:rPr>
                <w:rFonts w:ascii="Calibri" w:hAnsi="Calibri"/>
                <w:sz w:val="16"/>
              </w:rPr>
              <w:t xml:space="preserve"> </w:t>
            </w:r>
            <w:r>
              <w:rPr>
                <w:rFonts w:ascii="Calibri" w:hAnsi="Calibri"/>
                <w:sz w:val="16"/>
              </w:rPr>
              <w:t xml:space="preserve">passed applicable route/check cells ÷ all applicable cells on NVDA/Firefox, NVDA/Chrome, VoiceOver/Safari and one OS voice-control route; report WCAG SC outcomes and exact dynamic announcements.</w:t>
            </w:r>
          </w:p>
        </w:tc>
        <w:tc>
          <w:tcPr>
            <w:tcW w:type="dxa" w:w="302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6"/>
              </w:rPr>
              <w:t xml:space="preserve">All 135 browser scans present; 0 automatically detected violations; 0 overflow failures; 0 critical target-size failures; incomplete axe checks listed. Manual audit has 0 NT cells, every applicable cell P/F, and no S3 failure in a technically supported route. A markup mechanism that is not usefully announced is F.</w:t>
            </w:r>
          </w:p>
        </w:tc>
        <w:tc>
          <w:tcPr>
            <w:tcW w:type="dxa" w:w="2088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6"/>
              </w:rPr>
              <w:t xml:space="preserve">Frozen runner-state inventory; Playwright/axe JSON+HTML and trace artefact; cross-browser matrix; versioned manual AT audit.</w:t>
            </w:r>
          </w:p>
        </w:tc>
        <w:tc>
          <w:tcPr>
            <w:tcW w:type="dxa" w:w="2808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bCs/>
                <w:rFonts w:ascii="Calibri" w:hAnsi="Calibri"/>
                <w:b/>
                <w:sz w:val="16"/>
              </w:rPr>
              <w:t xml:space="preserve">Not evidenced overall.</w:t>
            </w:r>
            <w:r>
              <w:rPr>
                <w:rFonts w:ascii="Calibri" w:hAnsi="Calibri"/>
                <w:sz w:val="16"/>
              </w:rPr>
              <w:t xml:space="preserve"> </w:t>
            </w:r>
            <w:r>
              <w:rPr>
                <w:rFonts w:ascii="Calibri" w:hAnsi="Calibri"/>
                <w:sz w:val="16"/>
              </w:rPr>
              <w:t xml:space="preserve">The earlier 60-scan run does not meet the expanded every-screen inventory. The 135-scan candidate is awaiting PR CI, and all manual route cells remain NT. No general accessibility or disabled-user benefit claim is available.</w:t>
            </w:r>
          </w:p>
        </w:tc>
      </w:tr>
      <w:tr>
        <w:trPr>
          <w:cantSplit/>
        </w:trPr>
        <w:tc>
          <w:tcPr>
            <w:tcW w:type="dxa" w:w="648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6"/>
              </w:rPr>
              <w:t xml:space="preserve">C3</w:t>
            </w:r>
          </w:p>
        </w:tc>
        <w:tc>
          <w:tcPr>
            <w:tcW w:type="dxa" w:w="2376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6"/>
              </w:rPr>
              <w:t xml:space="preserve">Within the frozen support boundary, AQP preserves item content/order, response labels/stored values, required status, scoring identifier and reported score from source to rendered response and result.</w:t>
            </w:r>
          </w:p>
        </w:tc>
        <w:tc>
          <w:tcPr>
            <w:tcW w:type="dxa" w:w="3168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bCs/>
                <w:rFonts w:ascii="Calibri" w:hAnsi="Calibri"/>
                <w:b/>
                <w:sz w:val="16"/>
              </w:rPr>
              <w:t xml:space="preserve">Fidelity mismatch rate:</w:t>
            </w:r>
            <w:r>
              <w:rPr>
                <w:rFonts w:ascii="Calibri" w:hAnsi="Calibri"/>
                <w:sz w:val="16"/>
              </w:rPr>
              <w:t xml:space="preserve"> </w:t>
            </w:r>
            <w:r>
              <w:rPr>
                <w:rFonts w:ascii="Calibri" w:hAnsi="Calibri"/>
                <w:sz w:val="16"/>
              </w:rPr>
              <w:t xml:space="preserve">unequal expected/observed fields ÷ all independent-oracle comparisons, reported for each of the three distributable built-ins in this candidate and every QSF/LSS/LSG/LSQ fixture.</w:t>
            </w:r>
          </w:p>
        </w:tc>
        <w:tc>
          <w:tcPr>
            <w:tcW w:type="dxa" w:w="302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6"/>
              </w:rPr>
              <w:t xml:space="preserve">0 mismatches in every case. One missing, reordered, relabelled, revalued or differently scored field fails the release. A removed instrument is a disclosed scope change, not counted as a pass.</w:t>
            </w:r>
          </w:p>
        </w:tc>
        <w:tc>
          <w:tcPr>
            <w:tcW w:type="dxa" w:w="2088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6"/>
              </w:rPr>
              <w:t xml:space="preserve">Hand-maintained source-of-truth JSON; programmatic production-path round trip; machine-readable report.</w:t>
            </w:r>
          </w:p>
        </w:tc>
        <w:tc>
          <w:tcPr>
            <w:tcW w:type="dxa" w:w="2808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bCs/>
                <w:rFonts w:ascii="Calibri" w:hAnsi="Calibri"/>
                <w:b/>
                <w:sz w:val="16"/>
              </w:rPr>
              <w:t xml:space="preserve">Evidenced locally and in the last passing PR revision; final PR/release verification pending.</w:t>
            </w:r>
            <w:r>
              <w:rPr>
                <w:rFonts w:ascii="Calibri" w:hAnsi="Calibri"/>
                <w:sz w:val="16"/>
              </w:rPr>
              <w:t xml:space="preserve"> </w:t>
            </w:r>
            <w:r>
              <w:rPr>
                <w:rFonts w:ascii="Calibri" w:hAnsi="Calibri"/>
                <w:sz w:val="16"/>
              </w:rPr>
              <w:t xml:space="preserve">Eight cases, 31 items and 234 field comparisons produced 0 mismatches. This does</w:t>
            </w:r>
            <w:r>
              <w:rPr>
                <w:rFonts w:ascii="Calibri" w:hAnsi="Calibri"/>
                <w:sz w:val="16"/>
              </w:rPr>
              <w:t xml:space="preserve"> </w:t>
            </w:r>
            <w:r>
              <w:rPr>
                <w:bCs/>
                <w:rFonts w:ascii="Calibri" w:hAnsi="Calibri"/>
                <w:b/>
                <w:sz w:val="16"/>
              </w:rPr>
              <w:t xml:space="preserve">not</w:t>
            </w:r>
            <w:r>
              <w:rPr>
                <w:rFonts w:ascii="Calibri" w:hAnsi="Calibri"/>
                <w:sz w:val="16"/>
              </w:rPr>
              <w:t xml:space="preserve"> </w:t>
            </w:r>
            <w:r>
              <w:rPr>
                <w:rFonts w:ascii="Calibri" w:hAnsi="Calibri"/>
                <w:sz w:val="16"/>
              </w:rPr>
              <w:t xml:space="preserve">satisfy the supervisor's original “all four built-ins” denominator: UEQ-S was removed pending public-repository/deployment permission. The three-instrument release boundary requires explicit supervisor acceptance.</w:t>
            </w:r>
          </w:p>
        </w:tc>
      </w:tr>
      <w:tr>
        <w:trPr>
          <w:cantSplit/>
        </w:trPr>
        <w:tc>
          <w:tcPr>
            <w:tcW w:type="dxa" w:w="648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6"/>
              </w:rPr>
              <w:t xml:space="preserve">C4</w:t>
            </w:r>
          </w:p>
        </w:tc>
        <w:tc>
          <w:tcPr>
            <w:tcW w:type="dxa" w:w="2376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6"/>
              </w:rPr>
              <w:t xml:space="preserve">AQP fails closed for the pre-specified unsupported or adversarial inputs and does not silently alter them into participant-ready questionnaires.</w:t>
            </w:r>
          </w:p>
        </w:tc>
        <w:tc>
          <w:tcPr>
            <w:tcW w:type="dxa" w:w="3168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bCs/>
                <w:rFonts w:ascii="Calibri" w:hAnsi="Calibri"/>
                <w:b/>
                <w:sz w:val="16"/>
              </w:rPr>
              <w:t xml:space="preserve">Negative outcome count:</w:t>
            </w:r>
            <w:r>
              <w:rPr>
                <w:rFonts w:ascii="Calibri" w:hAnsi="Calibri"/>
                <w:sz w:val="16"/>
              </w:rPr>
              <w:t xml:space="preserve"> </w:t>
            </w:r>
            <w:r>
              <w:rPr>
                <w:rFonts w:ascii="Calibri" w:hAnsi="Calibri"/>
                <w:sz w:val="16"/>
              </w:rPr>
              <w:t xml:space="preserve">number in each of refused-specific, refused-generic, accepted-documented-loss and silently-altered across 12 frozen adversarial inputs.</w:t>
            </w:r>
          </w:p>
        </w:tc>
        <w:tc>
          <w:tcPr>
            <w:tcW w:type="dxa" w:w="302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6"/>
              </w:rPr>
              <w:t xml:space="preserve">Silently altered = 0/12. Every accepted loss must be explicit and acknowledged; every refusal must produce no participant link/partial definition. Specific and generic refusals are reported separately.</w:t>
            </w:r>
          </w:p>
        </w:tc>
        <w:tc>
          <w:tcPr>
            <w:tcW w:type="dxa" w:w="2088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6"/>
              </w:rPr>
              <w:t xml:space="preserve">Automated negative battery and row-level results table.</w:t>
            </w:r>
          </w:p>
        </w:tc>
        <w:tc>
          <w:tcPr>
            <w:tcW w:type="dxa" w:w="2808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bCs/>
                <w:rFonts w:ascii="Calibri" w:hAnsi="Calibri"/>
                <w:b/>
                <w:sz w:val="16"/>
              </w:rPr>
              <w:t xml:space="preserve">Evidenced locally and in the last passing PR revision; final PR/release verification pending.</w:t>
            </w:r>
            <w:r>
              <w:rPr>
                <w:rFonts w:ascii="Calibri" w:hAnsi="Calibri"/>
                <w:sz w:val="16"/>
              </w:rPr>
              <w:t xml:space="preserve"> </w:t>
            </w:r>
            <w:r>
              <w:rPr>
                <w:rFonts w:ascii="Calibri" w:hAnsi="Calibri"/>
                <w:sz w:val="16"/>
              </w:rPr>
              <w:t xml:space="preserve">The battery recorded 10 specific refusals, 2 generic parse refusals, 0 accepted documented losses and 0 silently altered.</w:t>
            </w:r>
          </w:p>
        </w:tc>
      </w:tr>
    </w:tbl>
    <w:bookmarkStart w:id="20" w:name="active-claims-continued"/>
    <w:p>
      <w:pPr>
        <w:pStyle w:val="Heading2"/>
        <w:keepNext/>
        <w:keepLines/>
        <w:pageBreakBefore/>
        <w:spacing w:before="840"/>
      </w:pPr>
      <w:r>
        <w:rPr>
          <w:rFonts w:ascii="Calibri" w:hAnsi="Calibri"/>
        </w:rPr>
        <w:t xml:space="preserve">Active claims (continued)</w:t>
      </w:r>
    </w:p>
    <w:tbl>
      <w:tblPr>
        <w:tblW w:type="dxa" w:w="14112"/>
        <w:jc w:val="left"/>
        <w:tblLayout w:type="fixed"/>
        <w:tblLook w:firstRow="1" w:lastRow="0" w:firstColumn="0" w:lastColumn="0" w:noHBand="0" w:noVBand="0" w:val="0020"/>
        <w:tblInd w:type="dxa" w:w="120"/>
      </w:tblPr>
      <w:tblGrid>
        <w:gridCol w:w="648"/>
        <w:gridCol w:w="2376"/>
        <w:gridCol w:w="3168"/>
        <w:gridCol w:w="3024"/>
        <w:gridCol w:w="2088"/>
        <w:gridCol w:w="2808"/>
      </w:tblGrid>
      <w:tr>
        <w:trPr>
          <w:tblHeader w:val="true"/>
          <w:tblHeader w:val="true"/>
          <w:cantSplit/>
        </w:trPr>
        <w:tc>
          <w:tcPr>
            <w:vAlign w:val="top"/>
            <w:tcW w:type="dxa" w:w="648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b/>
                <w:sz w:val="16"/>
              </w:rPr>
              <w:t xml:space="preserve">ID</w:t>
            </w:r>
          </w:p>
        </w:tc>
        <w:tc>
          <w:tcPr>
            <w:vAlign w:val="top"/>
            <w:tcW w:type="dxa" w:w="2376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b/>
                <w:sz w:val="16"/>
              </w:rPr>
              <w:t xml:space="preserve">Bounded claim</w:t>
            </w:r>
          </w:p>
        </w:tc>
        <w:tc>
          <w:tcPr>
            <w:vAlign w:val="top"/>
            <w:tcW w:type="dxa" w:w="3168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b/>
                <w:sz w:val="16"/>
              </w:rPr>
              <w:t xml:space="preserve">Metric and operational calculation</w:t>
            </w:r>
          </w:p>
        </w:tc>
        <w:tc>
          <w:tcPr>
            <w:vAlign w:val="top"/>
            <w:tcW w:type="dxa" w:w="3024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b/>
                <w:sz w:val="16"/>
              </w:rPr>
              <w:t xml:space="preserve">Decision rule</w:t>
            </w:r>
          </w:p>
        </w:tc>
        <w:tc>
          <w:tcPr>
            <w:vAlign w:val="top"/>
            <w:tcW w:type="dxa" w:w="2088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b/>
                <w:sz w:val="16"/>
              </w:rPr>
              <w:t xml:space="preserve">Evidence source</w:t>
            </w:r>
          </w:p>
        </w:tc>
        <w:tc>
          <w:tcPr>
            <w:vAlign w:val="top"/>
            <w:tcW w:type="dxa" w:w="2808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b/>
                <w:sz w:val="16"/>
              </w:rPr>
              <w:t xml:space="preserve">Current evidence status</w:t>
            </w:r>
          </w:p>
        </w:tc>
      </w:tr>
      <w:tr>
        <w:trPr>
          <w:cantSplit/>
        </w:trPr>
        <w:tc>
          <w:tcPr>
            <w:tcW w:type="dxa" w:w="648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6"/>
              </w:rPr>
              <w:t xml:space="preserve">C5</w:t>
            </w:r>
          </w:p>
        </w:tc>
        <w:tc>
          <w:tcPr>
            <w:tcW w:type="dxa" w:w="2376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6"/>
              </w:rPr>
              <w:t xml:space="preserve">The revised researcher setup can be evaluated formatively against a precisely matched Qualtrics setup condition for task success, time, assists, errors and perceived ease. This is an optional additional study, not required for the technical dissertation evaluation.</w:t>
            </w:r>
          </w:p>
        </w:tc>
        <w:tc>
          <w:tcPr>
            <w:tcW w:type="dxa" w:w="3168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6"/>
              </w:rPr>
              <w:t xml:space="preserve">Per condition: valid task completions ÷ assigned tasks; active time; assists; predefined errors; discrepancy detection; post-task SEQ. Post-session SUS. Report each participant and median/range. Second coder independently codes at least two recordings; report event-level agreement.</w:t>
            </w:r>
          </w:p>
        </w:tc>
        <w:tc>
          <w:tcPr>
            <w:tcW w:type="dxa" w:w="302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6"/>
              </w:rPr>
              <w:t xml:space="preserve">A task succeeds only when the specified end state and all validity checks are met without critical error. Assistance and errors follow frozen definitions. Report descriptive results only; no significance test or general usability claim at n=6–8.</w:t>
            </w:r>
          </w:p>
        </w:tc>
        <w:tc>
          <w:tcPr>
            <w:tcW w:type="dxa" w:w="2088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6"/>
              </w:rPr>
              <w:t xml:space="preserve">Preregistered observed-study protocol; recordings with consent; observer logs; independent-coder sheet; SEQ/SUS forms.</w:t>
            </w:r>
          </w:p>
        </w:tc>
        <w:tc>
          <w:tcPr>
            <w:tcW w:type="dxa" w:w="2808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bCs/>
                <w:rFonts w:ascii="Calibri" w:hAnsi="Calibri"/>
                <w:b/>
                <w:sz w:val="16"/>
              </w:rPr>
              <w:t xml:space="preserve">Not evidenced.</w:t>
            </w:r>
            <w:r>
              <w:rPr>
                <w:rFonts w:ascii="Calibri" w:hAnsi="Calibri"/>
                <w:sz w:val="16"/>
              </w:rPr>
              <w:t xml:space="preserve"> </w:t>
            </w:r>
            <w:r>
              <w:rPr>
                <w:rFonts w:ascii="Calibri" w:hAnsi="Calibri"/>
                <w:sz w:val="16"/>
              </w:rPr>
              <w:t xml:space="preserve">No sessions may run without amendment approval. If approval/timing does not permit, retain the fully specified protocol as planned work and keep C5 Not evidenced.</w:t>
            </w:r>
          </w:p>
        </w:tc>
      </w:tr>
      <w:tr>
        <w:trPr>
          <w:cantSplit/>
        </w:trPr>
        <w:tc>
          <w:tcPr>
            <w:tcW w:type="dxa" w:w="648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6"/>
              </w:rPr>
              <w:t xml:space="preserve">C7</w:t>
            </w:r>
          </w:p>
        </w:tc>
        <w:tc>
          <w:tcPr>
            <w:tcW w:type="dxa" w:w="2376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6"/>
              </w:rPr>
              <w:t xml:space="preserve">Each result record is bound to the questionnaire definition used for its configuration, and the definition, final response set and score can be reconstructed and checked from the export alone.</w:t>
            </w:r>
          </w:p>
        </w:tc>
        <w:tc>
          <w:tcPr>
            <w:tcW w:type="dxa" w:w="3168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bCs/>
                <w:rFonts w:ascii="Calibri" w:hAnsi="Calibri"/>
                <w:b/>
                <w:sz w:val="16"/>
              </w:rPr>
              <w:t xml:space="preserve">Hash verification:</w:t>
            </w:r>
            <w:r>
              <w:rPr>
                <w:rFonts w:ascii="Calibri" w:hAnsi="Calibri"/>
                <w:sz w:val="16"/>
              </w:rPr>
              <w:t xml:space="preserve"> </w:t>
            </w:r>
            <w:r>
              <w:rPr>
                <w:rFonts w:ascii="Calibri" w:hAnsi="Calibri"/>
                <w:sz w:val="16"/>
              </w:rPr>
              <w:t xml:space="preserve">matching canonical SHA-256 in configuration, recomputed loaded definition and submitted result ÷ tested cases; Version 4 configurations and result records with a missing or mismatched fingerprint rejected ÷ tamper cases.</w:t>
            </w:r>
            <w:r>
              <w:rPr>
                <w:rFonts w:ascii="Calibri" w:hAnsi="Calibri"/>
                <w:sz w:val="16"/>
              </w:rPr>
              <w:t xml:space="preserve"> </w:t>
            </w:r>
            <w:r>
              <w:rPr>
                <w:bCs/>
                <w:rFonts w:ascii="Calibri" w:hAnsi="Calibri"/>
                <w:b/>
                <w:sz w:val="16"/>
              </w:rPr>
              <w:t xml:space="preserve">Reconstruction:</w:t>
            </w:r>
            <w:r>
              <w:rPr>
                <w:rFonts w:ascii="Calibri" w:hAnsi="Calibri"/>
                <w:sz w:val="16"/>
              </w:rPr>
              <w:t xml:space="preserve"> </w:t>
            </w:r>
            <w:r>
              <w:rPr>
                <w:rFonts w:ascii="Calibri" w:hAnsi="Calibri"/>
                <w:sz w:val="16"/>
              </w:rPr>
              <w:t xml:space="preserve">fully reconstructed exports with 0 definition/response/score mismatches ÷ all fidelity cases.</w:t>
            </w:r>
          </w:p>
        </w:tc>
        <w:tc>
          <w:tcPr>
            <w:tcW w:type="dxa" w:w="302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6"/>
              </w:rPr>
              <w:t xml:space="preserve">Hash agreement 100%; every missing or mismatched Version 4 configuration/result fingerprint is rejected and cannot show or restore success. Reconstruction 8/8 with 0 mismatches; every export contains the complete definition, scorer and responses needed without repository lookup. This unsigned fingerprint establishes internal consistency, not authenticated authorship.</w:t>
            </w:r>
          </w:p>
        </w:tc>
        <w:tc>
          <w:tcPr>
            <w:tcW w:type="dxa" w:w="2088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6"/>
              </w:rPr>
              <w:t xml:space="preserve">Configuration/result schema tests; missing-hash and stale-hash tampered-link/result tests; submission-block test; export reconstruction report.</w:t>
            </w:r>
          </w:p>
        </w:tc>
        <w:tc>
          <w:tcPr>
            <w:tcW w:type="dxa" w:w="2808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bCs/>
                <w:rFonts w:ascii="Calibri" w:hAnsi="Calibri"/>
                <w:b/>
                <w:sz w:val="16"/>
              </w:rPr>
              <w:t xml:space="preserve">Evidenced locally and in the last passing PR revision; final PR/release verification pending.</w:t>
            </w:r>
            <w:r>
              <w:rPr>
                <w:rFonts w:ascii="Calibri" w:hAnsi="Calibri"/>
                <w:sz w:val="16"/>
              </w:rPr>
              <w:t xml:space="preserve"> </w:t>
            </w:r>
            <w:r>
              <w:rPr>
                <w:rFonts w:ascii="Calibri" w:hAnsi="Calibri"/>
                <w:sz w:val="16"/>
              </w:rPr>
              <w:t xml:space="preserve">Missing/mismatched Version 4 hashes were rejected, including link-load, submission and stored-result restoration routes; 8/8 exports and 31/31 responses reconstructed with 0 mismatch. Final main and deployed SHA must reproduce the result.</w:t>
            </w:r>
          </w:p>
        </w:tc>
      </w:tr>
    </w:tbl>
    <w:bookmarkEnd w:id="20"/>
    <w:bookmarkStart w:id="21" w:name="removed-row"/>
    <w:p>
      <w:pPr>
        <w:pStyle w:val="Heading2"/>
        <w:keepNext/>
        <w:keepLines/>
      </w:pPr>
      <w:r>
        <w:rPr>
          <w:rFonts w:ascii="Calibri" w:hAnsi="Calibri"/>
        </w:rPr>
        <w:t xml:space="preserve">Removed row</w:t>
      </w:r>
    </w:p>
    <w:p>
      <w:pPr>
        <w:pStyle w:val="FirstParagraph"/>
      </w:pPr>
      <w:r>
        <w:rPr>
          <w:bCs/>
          <w:rFonts w:ascii="Calibri" w:hAnsi="Calibri"/>
          <w:b/>
        </w:rPr>
        <w:t xml:space="preserve">C6 (AQP versus matched Qualtrics participant accessibility comparison) is</w:t>
      </w:r>
      <w:r>
        <w:rPr>
          <w:bCs/>
          <w:rFonts w:ascii="Calibri" w:hAnsi="Calibri"/>
          <w:b/>
        </w:rPr>
        <w:t xml:space="preserve"> </w:t>
      </w:r>
      <w:r>
        <w:rPr>
          <w:bCs/>
          <w:rFonts w:ascii="Calibri" w:hAnsi="Calibri"/>
          <w:b/>
        </w:rPr>
        <w:t xml:space="preserve">removed.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The withdrawn design confounded presentation structure and did not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provide interpretable mechanism-level or score-equivalence evidence. It is not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retained as an unevidenced active claim.</w:t>
      </w:r>
    </w:p>
    <w:bookmarkEnd w:id="21"/>
    <w:bookmarkEnd w:id="22"/>
    <w:sectPr>
      <w:headerReference w:type="default" r:id="rId9"/>
      <w:footerReference w:type="default" r:id="rId10"/>
      <w:headerReference w:type="even" r:id="rId11"/>
      <w:footerReference w:type="even" r:id="rId12"/>
      <w:pgSz w:orient="landscape" w:w="15840" w:h="12240"/>
      <w:pgMar w:top="1008" w:bottom="1008" w:left="864" w:right="864" w:header="708" w:footer="708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/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/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before="0" w:after="120" w:line="264" w:lineRule="auto"/>
    </w:pPr>
    <w:rPr>
      <w:rFonts w:ascii="Calibri" w:hAnsi="Calibri"/>
      <w:b w:val="0"/>
      <w:color w:val="000000"/>
      <w:sz w:val="22"/>
    </w:rPr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320" w:line="240" w:lineRule="auto"/>
      <w:outlineLvl w:val="0"/>
    </w:pPr>
    <w:rPr>
      <w:rFonts w:asciiTheme="majorHAnsi" w:cstheme="majorBidi" w:eastAsiaTheme="majorEastAsia" w:hAnsiTheme="majorHAnsi" w:ascii="Calibri" w:hAnsi="Calibri"/>
      <w:b/>
      <w:bCs/>
      <w:color w:val="2E74B5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240" w:line="240" w:lineRule="auto"/>
      <w:outlineLvl w:val="1"/>
    </w:pPr>
    <w:rPr>
      <w:rFonts w:asciiTheme="majorHAnsi" w:cstheme="majorBidi" w:eastAsiaTheme="majorEastAsia" w:hAnsiTheme="majorHAnsi" w:ascii="Calibri" w:hAnsi="Calibri"/>
      <w:b/>
      <w:bCs/>
      <w:color w:val="2E74B5"/>
      <w:sz w:val="26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80" w:before="160" w:line="240" w:lineRule="auto"/>
      <w:outlineLvl w:val="2"/>
    </w:pPr>
    <w:rPr>
      <w:rFonts w:asciiTheme="majorHAnsi" w:cstheme="majorBidi" w:eastAsiaTheme="majorEastAsia" w:hAnsiTheme="majorHAnsi" w:ascii="Calibri" w:hAnsi="Calibri"/>
      <w:b/>
      <w:bCs/>
      <w:color w:val="1F4D78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AQP evaluation matrix v6</dc:title>
  <dc:creator>Yurui Wang</dc:creator>
  <cp:keywords>AQP, evaluation, accessibility, questionnaire</cp:keywords>
  <dcterms:created xsi:type="dcterms:W3CDTF">2026-08-10T00:40:31Z</dcterms:created>
  <dcterms:modified xsi:type="dcterms:W3CDTF">2026-08-10T00:40:31Z</dcterms:modified>
  <dc:subject>Version 6.2 | 10 August 2026</dc:subject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