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observed-researcher-study-protocol-v11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Observed researcher study protocol v1.1</w:t>
      </w:r>
    </w:p>
    <w:p>
      <w:pPr>
        <w:pStyle w:val="FirstParagraph"/>
      </w:pPr>
      <w:r>
        <w:rPr>
          <w:rFonts w:ascii="Calibri" w:hAnsi="Calibri"/>
          <w:color w:val="59636E"/>
          <w:sz w:val="20"/>
        </w:rPr>
        <w:t xml:space="preserve">Status: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bCs/>
          <w:rFonts w:ascii="Calibri" w:hAnsi="Calibri"/>
          <w:b/>
          <w:color w:val="59636E"/>
          <w:sz w:val="20"/>
        </w:rPr>
        <w:t xml:space="preserve">planned additional formative study; do not run without approved amendment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rFonts w:ascii="Calibri" w:hAnsi="Calibri"/>
          <w:color w:val="59636E"/>
          <w:sz w:val="20"/>
        </w:rPr>
        <w:t xml:space="preserve">Protocol revised: 2026-08-10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rFonts w:ascii="Calibri" w:hAnsi="Calibri"/>
          <w:color w:val="59636E"/>
          <w:sz w:val="20"/>
        </w:rPr>
        <w:t xml:space="preserve">Target sample: 6–8 adults acting as novice questionnaire researchers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rFonts w:ascii="Calibri" w:hAnsi="Calibri"/>
          <w:color w:val="59636E"/>
          <w:sz w:val="20"/>
        </w:rPr>
        <w:t xml:space="preserve">Analysis: descriptive and per-participant only; no significance testing</w:t>
      </w:r>
    </w:p>
    <w:bookmarkStart w:id="20" w:name="role-in-the-dissertation"/>
    <w:p>
      <w:pPr>
        <w:pStyle w:val="Heading2"/>
        <w:keepNext/>
        <w:keepLines/>
      </w:pPr>
      <w:r>
        <w:rPr>
          <w:rFonts w:ascii="Calibri" w:hAnsi="Calibri"/>
        </w:rPr>
        <w:t xml:space="preserve">Role in the dissertation</w:t>
      </w:r>
    </w:p>
    <w:p>
      <w:pPr>
        <w:pStyle w:val="FirstParagraph"/>
      </w:pPr>
      <w:r>
        <w:rPr>
          <w:rFonts w:ascii="Calibri" w:hAnsi="Calibri"/>
        </w:rPr>
        <w:t xml:space="preserve">The dissertation evaluation is complete without these sessions. Quantified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technical evaluation and the manual assistive-technology audit are the core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evaluation. If the amendment is approved and sessions finish in time, this study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reported as an additional formative study. Otherwise the protocol is reported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as planned work and the researcher-usability claim remains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Not evidenced</w:t>
      </w:r>
      <w:r>
        <w:rPr>
          <w:rFonts w:ascii="Calibri" w:hAnsi="Calibri"/>
        </w:rPr>
        <w:t xml:space="preserve">.</w:t>
      </w:r>
    </w:p>
    <w:p>
      <w:pPr>
        <w:pStyle w:val="BodyText"/>
      </w:pPr>
      <w:r>
        <w:rPr>
          <w:rFonts w:ascii="Calibri" w:hAnsi="Calibri"/>
        </w:rPr>
        <w:t xml:space="preserve">Submit the amendment by 11 August 2026. If written approval is not in hand by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18 August, do not include sessions in the 21 August draft and do not delay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draft.</w:t>
      </w:r>
    </w:p>
    <w:bookmarkEnd w:id="20"/>
    <w:bookmarkStart w:id="21" w:name="research-questions"/>
    <w:p>
      <w:pPr>
        <w:pStyle w:val="Heading2"/>
        <w:keepNext/>
        <w:keepLines/>
      </w:pPr>
      <w:r>
        <w:rPr>
          <w:rFonts w:ascii="Calibri" w:hAnsi="Calibri"/>
        </w:rPr>
        <w:t xml:space="preserve">Research questions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RQ1: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Can novice questionnaire researchers produce a valid SUS study from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AQP and from a precisely specified Qualtrics template starting state?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RQ2: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What time, assistance and observable errors occur in each whole-tool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workflow?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RQ3: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Can the AQP source-review workflow help researchers detect one seeded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discrepancy before a participant link is released?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RQ4: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What barriers and improvement suggestions arise during observed use?</w:t>
      </w:r>
    </w:p>
    <w:p>
      <w:pPr>
        <w:pStyle w:val="FirstParagraph"/>
      </w:pPr>
      <w:r>
        <w:rPr>
          <w:rFonts w:ascii="Calibri" w:hAnsi="Calibri"/>
        </w:rPr>
        <w:t xml:space="preserve">This is a formative whole-workflow comparison. It does not isolate one interface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mechanism and does not establish that one platform is generally easier.</w:t>
      </w:r>
    </w:p>
    <w:bookmarkEnd w:id="21"/>
    <w:bookmarkStart w:id="22" w:name="participants"/>
    <w:p>
      <w:pPr>
        <w:pStyle w:val="Heading2"/>
        <w:keepNext/>
        <w:keepLines/>
      </w:pPr>
      <w:r>
        <w:rPr>
          <w:rFonts w:ascii="Calibri" w:hAnsi="Calibri"/>
        </w:rPr>
        <w:t xml:space="preserve">Participants</w:t>
      </w:r>
    </w:p>
    <w:p>
      <w:pPr>
        <w:pStyle w:val="FirstParagraph"/>
      </w:pPr>
      <w:r>
        <w:rPr>
          <w:rFonts w:ascii="Calibri" w:hAnsi="Calibri"/>
        </w:rPr>
        <w:t xml:space="preserve">Eligibility: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aged 18 or over;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able to use a desktop/laptop browser independently;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no prior development work on AQP;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novice or occasional questionnaire researcher, operationalised as no more than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two previously configured online questionnaire studies; and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able to use the approved session language and consent to screen recording.</w:t>
      </w:r>
    </w:p>
    <w:p>
      <w:pPr>
        <w:pStyle w:val="FirstParagraph"/>
      </w:pPr>
      <w:r>
        <w:rPr>
          <w:rFonts w:ascii="Calibri" w:hAnsi="Calibri"/>
        </w:rPr>
        <w:t xml:space="preserve">Record prior Qualtrics and survey-platform experience before assignment. Do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exclude a participant after seeing task outcomes. Target 6 or 8 participants so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two orders contain 3/3 or 4/4 participants. If exactly 7 complete, assign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last order at random and report the 4/3 imbalance. Do not replace a difficult case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because of performance.</w:t>
      </w:r>
    </w:p>
    <w:bookmarkEnd w:id="22"/>
    <w:bookmarkStart w:id="27" w:name="frozen-systems-and-starting-states"/>
    <w:p>
      <w:pPr>
        <w:pStyle w:val="Heading2"/>
        <w:keepNext/>
        <w:keepLines/>
      </w:pPr>
      <w:r>
        <w:rPr>
          <w:rFonts w:ascii="Calibri" w:hAnsi="Calibri"/>
        </w:rPr>
        <w:t xml:space="preserve">Frozen systems and starting states</w:t>
      </w:r>
    </w:p>
    <w:p>
      <w:pPr>
        <w:pStyle w:val="FirstParagraph"/>
      </w:pPr>
      <w:r>
        <w:rPr>
          <w:rFonts w:ascii="Calibri" w:hAnsi="Calibri"/>
        </w:rPr>
        <w:t xml:space="preserve">Record the AQP release tag, commit SHA, deployed URL, Qualtrics account type,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template version and browser before the first session. No system update is allowed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mid-study unless a safety-critical defect stops the study; if that occurs, freeze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affected data and document the protocol deviation.</w:t>
      </w:r>
    </w:p>
    <w:bookmarkStart w:id="23" w:name="X045855340ca008acea8d4506e21d4e319b69008"/>
    <w:p>
      <w:pPr>
        <w:pStyle w:val="Heading3"/>
        <w:keepNext/>
        <w:keepLines/>
      </w:pPr>
      <w:r>
        <w:rPr>
          <w:rFonts w:ascii="Calibri" w:hAnsi="Calibri"/>
        </w:rPr>
        <w:t xml:space="preserve">Activation record — complete before recruitment</w:t>
      </w:r>
    </w:p>
    <w:p>
      <w:pPr>
        <w:pStyle w:val="FirstParagraph"/>
      </w:pPr>
      <w:r>
        <w:rPr>
          <w:rFonts w:ascii="Calibri" w:hAnsi="Calibri"/>
        </w:rPr>
        <w:t xml:space="preserve">The protocol is fully specified but must not be activated until this record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complete and attached to the preregistration:</w:t>
      </w:r>
    </w:p>
    <w:tbl>
      <w:tblPr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880"/>
        <w:gridCol w:w="6480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8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Gate</w:t>
            </w:r>
          </w:p>
        </w:tc>
        <w:tc>
          <w:tcPr>
            <w:vAlign w:val="top"/>
            <w:tcW w:type="dxa" w:w="64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Required frozen value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Ethics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Approval ID, approving route/committee, written amendment decision and approved document versions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AQP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Immutable release tag, commit SHA, deployment URL and passing evidence-report links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Qualtrics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Survey/template ID,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AQP-SUS-COMPARISON-v1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export checksum, account type and verified starting-state screenshot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Preregistration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Public/approved record URL or DOI, timestamp, random seed and concealed AQ/QA allocation list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Recruitment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Approved invitation location, eligibility route and recruitment start/end dates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Recording/storage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Approved meeting/recording tool, exact RDSS project path, transfer check and deletion log location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Coding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Named UCL second coder, role, confidentiality/access approval and two recordings selected before outcome review</w:t>
            </w:r>
          </w:p>
        </w:tc>
      </w:tr>
    </w:tbl>
    <w:p>
      <w:pPr>
        <w:pStyle w:val="BodyText"/>
      </w:pPr>
      <w:r>
        <w:rPr>
          <w:rFonts w:ascii="Calibri" w:hAnsi="Calibri"/>
        </w:rPr>
        <w:t xml:space="preserve">An empty gate means the study remains planned work. Do not infer a value from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software repository or replace it with a placeholder during a live session.</w:t>
      </w:r>
    </w:p>
    <w:bookmarkEnd w:id="23"/>
    <w:bookmarkStart w:id="24" w:name="condition-a--aqp-ready-made-sus-route"/>
    <w:p>
      <w:pPr>
        <w:pStyle w:val="Heading3"/>
        <w:keepNext/>
        <w:keepLines/>
      </w:pPr>
      <w:r>
        <w:rPr>
          <w:rFonts w:ascii="Calibri" w:hAnsi="Calibri"/>
        </w:rPr>
        <w:t xml:space="preserve">Condition A — AQP ready-made SUS route</w:t>
      </w:r>
    </w:p>
    <w:p>
      <w:pPr>
        <w:pStyle w:val="FirstParagraph"/>
      </w:pPr>
      <w:r>
        <w:rPr>
          <w:rFonts w:ascii="Calibri" w:hAnsi="Calibri"/>
        </w:rPr>
        <w:t xml:space="preserve">Starting state: the researcher opens the AQP researcher landing page with no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saved setup.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System Usability Scale (SUS)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available in the built-in instrument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catalogue. Its 10 items, 1–5 response codes and executable SUS scorer are already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part of the named release. No study title, task, participant code, collection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choice or participant link has been configured.</w:t>
      </w:r>
    </w:p>
    <w:bookmarkEnd w:id="24"/>
    <w:bookmarkStart w:id="25" w:name="X9a79536d6f0e85d0c1186bf1527e7e9f5444e34"/>
    <w:p>
      <w:pPr>
        <w:pStyle w:val="Heading3"/>
        <w:keepNext/>
        <w:keepLines/>
      </w:pPr>
      <w:r>
        <w:rPr>
          <w:rFonts w:ascii="Calibri" w:hAnsi="Calibri"/>
        </w:rPr>
        <w:t xml:space="preserve">Condition Q — Qualtrics SUS template route</w:t>
      </w:r>
    </w:p>
    <w:p>
      <w:pPr>
        <w:pStyle w:val="FirstParagraph"/>
      </w:pPr>
      <w:r>
        <w:rPr>
          <w:rFonts w:ascii="Calibri" w:hAnsi="Calibri"/>
        </w:rPr>
        <w:t xml:space="preserve">Starting state: the researcher is already authenticated in the approved UCL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Qualtrics account and opens a fresh copy of the frozen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AQP-SUS-COMPARISON-v1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template. The template contains the same 10 original SUS items in the same order,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1–5 response values, required-response setting, one question per page and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pre-verified Brooke score calculation. It contains no study-specific title/task,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participant code or distribution link. The library/template is explicitly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available; participants are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asked to type ten items from scratch.</w:t>
      </w:r>
    </w:p>
    <w:p>
      <w:pPr>
        <w:pStyle w:val="BodyText"/>
      </w:pPr>
      <w:r>
        <w:rPr>
          <w:rFonts w:ascii="Calibri" w:hAnsi="Calibri"/>
        </w:rPr>
        <w:t xml:space="preserve">This starting state is chosen because it matches a realistic ready-made route in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both systems. The AQP scorer being executable platform code and the Qualtrics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formula being frozen template content are declared system differences. Therefore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time differences describe these two whole starting states, not an isolated effect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of the AQP wizard.</w:t>
      </w:r>
    </w:p>
    <w:bookmarkEnd w:id="25"/>
    <w:bookmarkStart w:id="26" w:name="required-end-state-for-both-conditions"/>
    <w:p>
      <w:pPr>
        <w:pStyle w:val="Heading3"/>
        <w:keepNext/>
        <w:keepLines/>
      </w:pPr>
      <w:r>
        <w:rPr>
          <w:rFonts w:ascii="Calibri" w:hAnsi="Calibri"/>
        </w:rPr>
        <w:t xml:space="preserve">Required end state for both conditions</w:t>
      </w:r>
    </w:p>
    <w:p>
      <w:pPr>
        <w:pStyle w:val="FirstParagraph"/>
      </w:pPr>
      <w:r>
        <w:rPr>
          <w:rFonts w:ascii="Calibri" w:hAnsi="Calibri"/>
        </w:rPr>
        <w:t xml:space="preserve">The participant must produce a working participant link for: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study title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Researcher setup comparison</w:t>
      </w:r>
      <w:r>
        <w:rPr>
          <w:rFonts w:ascii="Calibri" w:hAnsi="Calibri"/>
        </w:rPr>
        <w:t xml:space="preserve">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task label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Use the test product, then answer SUS</w:t>
      </w:r>
      <w:r>
        <w:rPr>
          <w:rFonts w:ascii="Calibri" w:hAnsi="Calibri"/>
        </w:rPr>
        <w:t xml:space="preserve">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pseudonymous participant code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RESEARCHER-DEMO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supplied through the approved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route rather than a person's name/email;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ten original SUS items in frozen order;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stored response values 1–5 with endpoints Strongly disagree/Strongly agree;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every item required;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one question per screen;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Brooke SUS score named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SUS score</w:t>
      </w:r>
      <w:r>
        <w:rPr>
          <w:rFonts w:ascii="Calibri" w:hAnsi="Calibri"/>
        </w:rPr>
        <w:t xml:space="preserve">; and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 result/export route containing the ten final item values and computed score.</w:t>
      </w:r>
    </w:p>
    <w:p>
      <w:pPr>
        <w:pStyle w:val="FirstParagraph"/>
      </w:pPr>
      <w:r>
        <w:rPr>
          <w:rFonts w:ascii="Calibri" w:hAnsi="Calibri"/>
        </w:rPr>
        <w:t xml:space="preserve">The coordinator verifies the artefact after the task. A page saying “complete”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 sufficient.</w:t>
      </w:r>
    </w:p>
    <w:bookmarkEnd w:id="26"/>
    <w:bookmarkEnd w:id="27"/>
    <w:bookmarkStart w:id="28" w:name="design-and-counterbalancing"/>
    <w:p>
      <w:pPr>
        <w:pStyle w:val="Heading2"/>
        <w:keepNext/>
        <w:keepLines/>
      </w:pPr>
      <w:r>
        <w:rPr>
          <w:rFonts w:ascii="Calibri" w:hAnsi="Calibri"/>
        </w:rPr>
        <w:t xml:space="preserve">Design and counterbalancing</w:t>
      </w:r>
    </w:p>
    <w:p>
      <w:pPr>
        <w:pStyle w:val="FirstParagraph"/>
      </w:pPr>
      <w:r>
        <w:rPr>
          <w:rFonts w:ascii="Calibri" w:hAnsi="Calibri"/>
        </w:rPr>
        <w:t xml:space="preserve">Use a within-participant A/Q design.</w:t>
      </w:r>
    </w:p>
    <w:tbl>
      <w:tblPr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880"/>
        <w:gridCol w:w="3168"/>
        <w:gridCol w:w="3312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8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Assignment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First condition</w:t>
            </w:r>
          </w:p>
        </w:tc>
        <w:tc>
          <w:tcPr>
            <w:vAlign w:val="top"/>
            <w:tcW w:type="dxa" w:w="331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Second condition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AQ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AQP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Qualtrics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QA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Qualtrics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AQP</w:t>
            </w:r>
          </w:p>
        </w:tc>
      </w:tr>
    </w:tbl>
    <w:p>
      <w:pPr>
        <w:pStyle w:val="BodyText"/>
      </w:pPr>
      <w:r>
        <w:rPr>
          <w:rFonts w:ascii="Calibri" w:hAnsi="Calibri"/>
        </w:rPr>
        <w:t xml:space="preserve">For n=6 allocate 3 AQ and 3 QA; for n=8 allocate 4 AQ and 4 QA. Generate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assignment list before recruitment with a reproducible random seed, conceal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next assignment until the participant is enrolled, and publish the seed and list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with the preregistration. Each participant uses the same fixed task and required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end state in both conditions.</w:t>
      </w:r>
    </w:p>
    <w:bookmarkEnd w:id="28"/>
    <w:bookmarkStart w:id="29" w:name="observed-procedure"/>
    <w:p>
      <w:pPr>
        <w:pStyle w:val="Heading2"/>
        <w:keepNext/>
        <w:keepLines/>
      </w:pPr>
      <w:r>
        <w:rPr>
          <w:rFonts w:ascii="Calibri" w:hAnsi="Calibri"/>
        </w:rPr>
        <w:t xml:space="preserve">Observed procedure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Confirm approved information-sheet version, active consent and permission to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 the study window and audio needed for coding.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Ask the participant to close unrelated windows and notifications. Remind them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that their own machine may still reveal names, tabs, notifications or file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paths in a recording.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Record experience, assigned order, device, OS and browser.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Read the fixed introduction script. Give the first condition task sheet.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Start time when the participant says they understand the task and first acts 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system. Observe without coaching.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End time when the participant says the end state is complete or reaches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20-minute condition limit.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Administer one SEQ item immediately. Then verify the generated artefact against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frozen checklist without revealing the second condition.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Repeat steps 4–7 for the other condition.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Administer SUS separately for AQP and Qualtrics, clearly naming the system for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each response set. Collect the fixed open questions.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Run the AQP planted-discrepancy task below.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Debrief the discrepancy, stop recording, confirm the withdrawal route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securely transfer the recording.</w:t>
      </w:r>
    </w:p>
    <w:bookmarkEnd w:id="29"/>
    <w:bookmarkStart w:id="30" w:name="fixed-observer-script"/>
    <w:p>
      <w:pPr>
        <w:pStyle w:val="Heading2"/>
        <w:keepNext/>
        <w:keepLines/>
      </w:pPr>
      <w:r>
        <w:rPr>
          <w:rFonts w:ascii="Calibri" w:hAnsi="Calibri"/>
        </w:rPr>
        <w:t xml:space="preserve">Fixed observer script</w:t>
      </w:r>
    </w:p>
    <w:p>
      <w:pPr>
        <w:pStyle w:val="FirstParagraph"/>
      </w:pPr>
      <w:r>
        <w:rPr>
          <w:rFonts w:ascii="Calibri" w:hAnsi="Calibri"/>
        </w:rPr>
        <w:t xml:space="preserve">Opening:</w:t>
      </w:r>
    </w:p>
    <w:p>
      <w:pPr>
        <w:pStyle w:val="BlockText"/>
        <w:spacing w:before="80" w:after="160"/>
        <w:ind w:left="432" w:right="216"/>
      </w:pPr>
      <w:r>
        <w:rPr>
          <w:rFonts w:ascii="Calibri" w:hAnsi="Calibri"/>
          <w:i/>
          <w:color w:val="1F4D78"/>
          <w:sz w:val="20"/>
        </w:rPr>
        <w:t xml:space="preserve">We are testing the setup workflows, not you. Please work as you normally would.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You may speak aloud if you want, but you do not have to. I will not tell you how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to complete a step. If you ask for help, I may first repeat the task. You can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pause or stop at any time.</w:t>
      </w:r>
    </w:p>
    <w:p>
      <w:pPr>
        <w:pStyle w:val="FirstParagraph"/>
      </w:pPr>
      <w:r>
        <w:rPr>
          <w:rFonts w:ascii="Calibri" w:hAnsi="Calibri"/>
        </w:rPr>
        <w:t xml:space="preserve">Permitted neutral prompts, used only after 20 seconds of silence or when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participant asks what the task means: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“Please continue in the way that makes most sense to you.”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“What are you trying to do now?”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“I can repeat the task wording, but I cannot tell you which control to use.”</w:t>
      </w:r>
    </w:p>
    <w:p>
      <w:pPr>
        <w:pStyle w:val="FirstParagraph"/>
      </w:pPr>
      <w:r>
        <w:rPr>
          <w:rFonts w:ascii="Calibri" w:hAnsi="Calibri"/>
        </w:rPr>
        <w:t xml:space="preserve">The observer must not name a control, point, take control, validate an unfinished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choice or reveal the planted discrepancy before the task ends.</w:t>
      </w:r>
    </w:p>
    <w:bookmarkEnd w:id="30"/>
    <w:bookmarkStart w:id="35" w:name="outcome-definitions"/>
    <w:p>
      <w:pPr>
        <w:pStyle w:val="Heading2"/>
        <w:keepNext/>
        <w:keepLines/>
      </w:pPr>
      <w:r>
        <w:rPr>
          <w:rFonts w:ascii="Calibri" w:hAnsi="Calibri"/>
        </w:rPr>
        <w:t xml:space="preserve">Outcome definitions</w:t>
      </w:r>
    </w:p>
    <w:bookmarkStart w:id="31" w:name="task-success"/>
    <w:p>
      <w:pPr>
        <w:pStyle w:val="Heading3"/>
        <w:keepNext/>
        <w:keepLines/>
      </w:pPr>
      <w:r>
        <w:rPr>
          <w:rFonts w:ascii="Calibri" w:hAnsi="Calibri"/>
        </w:rPr>
        <w:t xml:space="preserve">Task success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Success without assist: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all required end-state checks pass within 20 minutes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no assist occurred.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Success with assist: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all checks pass within 20 minutes after one or more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assists. This is not counted as independent success.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Failure: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time limit reached, participant stops, a required check fails, or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critical error remains in the final artefact.</w:t>
      </w:r>
    </w:p>
    <w:bookmarkEnd w:id="31"/>
    <w:bookmarkStart w:id="32" w:name="assist"/>
    <w:p>
      <w:pPr>
        <w:pStyle w:val="Heading3"/>
        <w:keepNext/>
        <w:keepLines/>
      </w:pPr>
      <w:r>
        <w:rPr>
          <w:rFonts w:ascii="Calibri" w:hAnsi="Calibri"/>
        </w:rPr>
        <w:t xml:space="preserve">Assist</w:t>
      </w:r>
    </w:p>
    <w:p>
      <w:pPr>
        <w:pStyle w:val="FirstParagraph"/>
      </w:pPr>
      <w:r>
        <w:rPr>
          <w:rFonts w:ascii="Calibri" w:hAnsi="Calibri"/>
        </w:rPr>
        <w:t xml:space="preserve">An assist is any observer action that adds procedural or factual information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contained in the task sheet: naming a control, giving a navigation path, explaining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how scoring is configured, pointing, taking control or confirming that a choice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correct before final verification. Repeating the task verbatim, asking a permitted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neutral prompt, resolving a study-owned login/outage or granting an approved break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not an assist. Record timestamp, exact words, trigger and category.</w:t>
      </w:r>
    </w:p>
    <w:bookmarkEnd w:id="32"/>
    <w:bookmarkStart w:id="33" w:name="error"/>
    <w:p>
      <w:pPr>
        <w:pStyle w:val="Heading3"/>
        <w:keepNext/>
        <w:keepLines/>
      </w:pPr>
      <w:r>
        <w:rPr>
          <w:rFonts w:ascii="Calibri" w:hAnsi="Calibri"/>
        </w:rPr>
        <w:t xml:space="preserve">Error</w:t>
      </w:r>
    </w:p>
    <w:p>
      <w:pPr>
        <w:pStyle w:val="FirstParagraph"/>
      </w:pPr>
      <w:r>
        <w:rPr>
          <w:rFonts w:ascii="Calibri" w:hAnsi="Calibri"/>
        </w:rPr>
        <w:t xml:space="preserve">An error is an observable participant action that must be reversed/corrected 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would produce an invalid end state if left unchanged. Categories: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content/order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response-label or stored-value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required-status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scoring/name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participant-code/data-handling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collection/link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navigation error (enters an irrelevant route and must return); or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false completion (declares done while one or more required checks fail).</w:t>
      </w:r>
    </w:p>
    <w:p>
      <w:pPr>
        <w:pStyle w:val="FirstParagraph"/>
      </w:pPr>
      <w:r>
        <w:rPr>
          <w:rFonts w:ascii="Calibri" w:hAnsi="Calibri"/>
        </w:rPr>
        <w:t xml:space="preserve">Exploration that does not change state and ordinary reading are not errors. Record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self-corrected errors; mark whether recovered, whether an assist was needed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whether the final artefact remained invalid.</w:t>
      </w:r>
    </w:p>
    <w:bookmarkEnd w:id="33"/>
    <w:bookmarkStart w:id="34" w:name="time"/>
    <w:p>
      <w:pPr>
        <w:pStyle w:val="Heading3"/>
        <w:keepNext/>
        <w:keepLines/>
      </w:pPr>
      <w:r>
        <w:rPr>
          <w:rFonts w:ascii="Calibri" w:hAnsi="Calibri"/>
        </w:rPr>
        <w:t xml:space="preserve">Time</w:t>
      </w:r>
    </w:p>
    <w:p>
      <w:pPr>
        <w:pStyle w:val="FirstParagraph"/>
      </w:pPr>
      <w:r>
        <w:rPr>
          <w:rFonts w:ascii="Calibri" w:hAnsi="Calibri"/>
        </w:rPr>
        <w:t xml:space="preserve">Active task time is elapsed time from the first system action to completion/failure,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minus researcher-owned outages and participant-requested breaks. Do not pause for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reading, search, backtracking or self-correction because these are part of task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performance.</w:t>
      </w:r>
    </w:p>
    <w:bookmarkEnd w:id="34"/>
    <w:bookmarkEnd w:id="35"/>
    <w:bookmarkStart w:id="37" w:name="planted-discrepancy-task"/>
    <w:p>
      <w:pPr>
        <w:pStyle w:val="Heading2"/>
        <w:keepNext/>
        <w:keepLines/>
      </w:pPr>
      <w:r>
        <w:rPr>
          <w:rFonts w:ascii="Calibri" w:hAnsi="Calibri"/>
        </w:rPr>
        <w:t xml:space="preserve">Planted-discrepancy task</w:t>
      </w:r>
    </w:p>
    <w:p>
      <w:pPr>
        <w:pStyle w:val="FirstParagraph"/>
      </w:pPr>
      <w:r>
        <w:rPr>
          <w:rFonts w:ascii="Calibri" w:hAnsi="Calibri"/>
        </w:rPr>
        <w:t xml:space="preserve">After both setup conditions, give the participant a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sealed source sheet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a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sealed imported definition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that differ in exactly one response label.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Everything else must match. The location, source wording and altered wording are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frozen in the private ethics/preregistration appendix and are not published in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repository before data collection.</w:t>
      </w:r>
    </w:p>
    <w:p>
      <w:pPr>
        <w:pStyle w:val="BodyText"/>
      </w:pPr>
      <w:r>
        <w:rPr>
          <w:rFonts w:ascii="Calibri" w:hAnsi="Calibri"/>
        </w:rPr>
        <w:t xml:space="preserve">The discrepancy previously described in public repository history must not be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used. A participant could have seen its answer, so it cannot yield interpretable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detection evidence. Before recruitment, the researcher must use a different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single discrepancy, record both file hashes in the private appendix, and give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second coder the sealed answer only after their independent coding is frozen.</w:t>
      </w:r>
    </w:p>
    <w:p>
      <w:pPr>
        <w:pStyle w:val="BodyText"/>
      </w:pPr>
      <w:r>
        <w:rPr>
          <w:rFonts w:ascii="Calibri" w:hAnsi="Calibri"/>
        </w:rPr>
        <w:t xml:space="preserve">Task wording:</w:t>
      </w:r>
    </w:p>
    <w:p>
      <w:pPr>
        <w:pStyle w:val="BlockText"/>
        <w:spacing w:before="80" w:after="160"/>
        <w:ind w:left="432" w:right="216"/>
      </w:pPr>
      <w:r>
        <w:rPr>
          <w:rFonts w:ascii="Calibri" w:hAnsi="Calibri"/>
          <w:i/>
          <w:color w:val="1F4D78"/>
          <w:sz w:val="20"/>
        </w:rPr>
        <w:t xml:space="preserve">Check the imported questions, answer labels, stored values and scoring against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the source sheet. Do not edit either file. Tell me every difference you would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resolve before releasing the participant link.</w:t>
      </w:r>
    </w:p>
    <w:p>
      <w:pPr>
        <w:pStyle w:val="FirstParagraph"/>
      </w:pPr>
      <w:r>
        <w:rPr>
          <w:rFonts w:ascii="Calibri" w:hAnsi="Calibri"/>
        </w:rPr>
        <w:t xml:space="preserve">Detection success requires the participant to identify the exact item/response,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both conflicting labels and the need to stop release, before assist or debrief.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False-positive differences are recorded separately. The task ends after detection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or 8 minutes.</w:t>
      </w:r>
    </w:p>
    <w:bookmarkStart w:id="36" w:name="information-sheet-disclosure-and-debrief"/>
    <w:p>
      <w:pPr>
        <w:pStyle w:val="Heading3"/>
        <w:keepNext/>
        <w:keepLines/>
      </w:pPr>
      <w:r>
        <w:rPr>
          <w:rFonts w:ascii="Calibri" w:hAnsi="Calibri"/>
        </w:rPr>
        <w:t xml:space="preserve">Information-sheet disclosure and debrief</w:t>
      </w:r>
    </w:p>
    <w:p>
      <w:pPr>
        <w:pStyle w:val="FirstParagraph"/>
      </w:pPr>
      <w:r>
        <w:rPr>
          <w:rFonts w:ascii="Calibri" w:hAnsi="Calibri"/>
        </w:rPr>
        <w:t xml:space="preserve">Information sheet line:</w:t>
      </w:r>
    </w:p>
    <w:p>
      <w:pPr>
        <w:pStyle w:val="BlockText"/>
        <w:spacing w:before="80" w:after="160"/>
        <w:ind w:left="432" w:right="216"/>
      </w:pPr>
      <w:r>
        <w:rPr>
          <w:rFonts w:ascii="Calibri" w:hAnsi="Calibri"/>
          <w:i/>
          <w:color w:val="1F4D78"/>
          <w:sz w:val="20"/>
        </w:rPr>
        <w:t xml:space="preserve">One task may contain a small intentional difference between two setup materials.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We do not tell you its location in advance because noticing it is part of the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task. We will explain it immediately afterwards.</w:t>
      </w:r>
    </w:p>
    <w:p>
      <w:pPr>
        <w:pStyle w:val="FirstParagraph"/>
      </w:pPr>
      <w:r>
        <w:rPr>
          <w:rFonts w:ascii="Calibri" w:hAnsi="Calibri"/>
        </w:rPr>
        <w:t xml:space="preserve">Debrief line:</w:t>
      </w:r>
    </w:p>
    <w:p>
      <w:pPr>
        <w:pStyle w:val="BlockText"/>
        <w:spacing w:before="80" w:after="160"/>
        <w:ind w:left="432" w:right="216"/>
      </w:pPr>
      <w:r>
        <w:rPr>
          <w:rFonts w:ascii="Calibri" w:hAnsi="Calibri"/>
          <w:i/>
          <w:color w:val="1F4D78"/>
          <w:sz w:val="20"/>
        </w:rPr>
        <w:t xml:space="preserve">The difference was intentionally inserted by the research team. The source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wording was [read the sealed source wording] and the imported file showed [read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the sealed altered wording]. It was not your mistake. We used it only to test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whether the review workflow supports detection. Your right to withdraw is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unchanged.</w:t>
      </w:r>
    </w:p>
    <w:p>
      <w:pPr>
        <w:pStyle w:val="FirstParagraph"/>
      </w:pPr>
      <w:r>
        <w:rPr>
          <w:rFonts w:ascii="Calibri" w:hAnsi="Calibri"/>
        </w:rPr>
        <w:t xml:space="preserve">The bracketed wording is filled from the ethics-approved sealed appendix during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debrief; it is not improvised by the observer.</w:t>
      </w:r>
    </w:p>
    <w:bookmarkEnd w:id="36"/>
    <w:bookmarkEnd w:id="37"/>
    <w:bookmarkStart w:id="38" w:name="measures"/>
    <w:p>
      <w:pPr>
        <w:pStyle w:val="Heading2"/>
        <w:keepNext/>
        <w:keepLines/>
      </w:pPr>
      <w:r>
        <w:rPr>
          <w:rFonts w:ascii="Calibri" w:hAnsi="Calibri"/>
        </w:rPr>
        <w:t xml:space="preserve">Measures</w:t>
      </w:r>
    </w:p>
    <w:p>
      <w:pPr>
        <w:pStyle w:val="FirstParagraph"/>
      </w:pPr>
      <w:r>
        <w:rPr>
          <w:rFonts w:ascii="Calibri" w:hAnsi="Calibri"/>
        </w:rPr>
        <w:t xml:space="preserve">Primary observed measures per condition:</w:t>
      </w:r>
    </w:p>
    <w:p>
      <w:pPr>
        <w:numPr>
          <w:ilvl w:val="0"/>
          <w:numId w:val="1008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task success category and each end-state checkpoint;</w:t>
      </w:r>
    </w:p>
    <w:p>
      <w:pPr>
        <w:numPr>
          <w:ilvl w:val="0"/>
          <w:numId w:val="1008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active time in seconds;</w:t>
      </w:r>
    </w:p>
    <w:p>
      <w:pPr>
        <w:numPr>
          <w:ilvl w:val="0"/>
          <w:numId w:val="1008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assist count and assist categories;</w:t>
      </w:r>
    </w:p>
    <w:p>
      <w:pPr>
        <w:numPr>
          <w:ilvl w:val="0"/>
          <w:numId w:val="1008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error count, categories, recovery and final validity; and</w:t>
      </w:r>
    </w:p>
    <w:p>
      <w:pPr>
        <w:numPr>
          <w:ilvl w:val="0"/>
          <w:numId w:val="1008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seeded-discrepancy detection, time, assists and false positives.</w:t>
      </w:r>
    </w:p>
    <w:p>
      <w:pPr>
        <w:pStyle w:val="FirstParagraph"/>
      </w:pPr>
      <w:r>
        <w:rPr>
          <w:rFonts w:ascii="Calibri" w:hAnsi="Calibri"/>
        </w:rPr>
        <w:t xml:space="preserve">Post-task/post-condition measures:</w:t>
      </w:r>
    </w:p>
    <w:p>
      <w:pPr>
        <w:numPr>
          <w:ilvl w:val="0"/>
          <w:numId w:val="1009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Single Ease Question (SEQ), 1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very difficult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to 7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very easy</w:t>
      </w:r>
      <w:r>
        <w:rPr>
          <w:rFonts w:ascii="Calibri" w:hAnsi="Calibri"/>
        </w:rPr>
        <w:t xml:space="preserve">, after each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condition;</w:t>
      </w:r>
    </w:p>
    <w:p>
      <w:pPr>
        <w:numPr>
          <w:ilvl w:val="0"/>
          <w:numId w:val="1009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System Usability Scale (SUS), scored 0–100 using the standard rule, separately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for each system; and</w:t>
      </w:r>
    </w:p>
    <w:p>
      <w:pPr>
        <w:numPr>
          <w:ilvl w:val="0"/>
          <w:numId w:val="1009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concise open prompts: “What caused the most difficulty?”, “What helped most?”,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“What one change would you make?”.</w:t>
      </w:r>
    </w:p>
    <w:p>
      <w:pPr>
        <w:pStyle w:val="FirstParagraph"/>
      </w:pPr>
      <w:r>
        <w:rPr>
          <w:rFonts w:ascii="Calibri" w:hAnsi="Calibri"/>
        </w:rPr>
        <w:t xml:space="preserve">Self-report does not replace observed success, time, assists or errors.</w:t>
      </w:r>
    </w:p>
    <w:bookmarkEnd w:id="38"/>
    <w:bookmarkStart w:id="39" w:name="second-coding-and-agreement"/>
    <w:p>
      <w:pPr>
        <w:pStyle w:val="Heading2"/>
        <w:keepNext/>
        <w:keepLines/>
      </w:pPr>
      <w:r>
        <w:rPr>
          <w:rFonts w:ascii="Calibri" w:hAnsi="Calibri"/>
        </w:rPr>
        <w:t xml:space="preserve">Second coding and agreement</w:t>
      </w:r>
    </w:p>
    <w:p>
      <w:pPr>
        <w:pStyle w:val="FirstParagraph"/>
      </w:pPr>
      <w:r>
        <w:rPr>
          <w:rFonts w:ascii="Calibri" w:hAnsi="Calibri"/>
        </w:rPr>
        <w:t xml:space="preserve">The primary observer codes all sessions from the fixed event sheet. A second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person, blind to the primary codes, independently codes at least two complete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recordings selected before outcome review (one AQ and one QA when available).</w:t>
      </w:r>
    </w:p>
    <w:p>
      <w:pPr>
        <w:pStyle w:val="BodyText"/>
      </w:pPr>
      <w:r>
        <w:rPr>
          <w:rFonts w:ascii="Calibri" w:hAnsi="Calibri"/>
        </w:rPr>
        <w:t xml:space="preserve">For each double-coded session report:</w:t>
      </w:r>
    </w:p>
    <w:p>
      <w:pPr>
        <w:numPr>
          <w:ilvl w:val="0"/>
          <w:numId w:val="1010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exact agreement on condition-level task-success category and every end-state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checkpoint;</w:t>
      </w:r>
    </w:p>
    <w:p>
      <w:pPr>
        <w:numPr>
          <w:ilvl w:val="0"/>
          <w:numId w:val="1010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each coder's raw assist and error totals;</w:t>
      </w:r>
    </w:p>
    <w:p>
      <w:pPr>
        <w:numPr>
          <w:ilvl w:val="0"/>
          <w:numId w:val="1010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event agreement where the same predefined category occurs within a 10-second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window; and</w:t>
      </w:r>
    </w:p>
    <w:p>
      <w:pPr>
        <w:numPr>
          <w:ilvl w:val="0"/>
          <w:numId w:val="1010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matched events divided by the union of both coders' events, with disagreements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listed and resolved only after the independent result is frozen.</w:t>
      </w:r>
    </w:p>
    <w:p>
      <w:pPr>
        <w:pStyle w:val="FirstParagraph"/>
      </w:pPr>
      <w:r>
        <w:rPr>
          <w:rFonts w:ascii="Calibri" w:hAnsi="Calibri"/>
        </w:rPr>
        <w:t xml:space="preserve">Do not report agreement only after consensus. Preserve the pre-consensus numbers.</w:t>
      </w:r>
    </w:p>
    <w:bookmarkEnd w:id="39"/>
    <w:bookmarkStart w:id="40" w:name="analysis-plan"/>
    <w:p>
      <w:pPr>
        <w:pStyle w:val="Heading2"/>
        <w:keepNext/>
        <w:keepLines/>
      </w:pPr>
      <w:r>
        <w:rPr>
          <w:rFonts w:ascii="Calibri" w:hAnsi="Calibri"/>
        </w:rPr>
        <w:t xml:space="preserve">Analysis plan</w:t>
      </w:r>
    </w:p>
    <w:p>
      <w:pPr>
        <w:pStyle w:val="FirstParagraph"/>
      </w:pPr>
      <w:r>
        <w:rPr>
          <w:rFonts w:ascii="Calibri" w:hAnsi="Calibri"/>
        </w:rPr>
        <w:t xml:space="preserve">For each participant and condition report success, time, assists, errors, SEQ, SUS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serious incidents. Summarise numeric measures with n, median, minimum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maximum. Report counts and denominators for success and discrepancy detection.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Show AQ and QA order groups separately before any overall summary.</w:t>
      </w:r>
    </w:p>
    <w:p>
      <w:pPr>
        <w:pStyle w:val="BodyText"/>
      </w:pPr>
      <w:r>
        <w:rPr>
          <w:rFonts w:ascii="Calibri" w:hAnsi="Calibri"/>
        </w:rPr>
        <w:t xml:space="preserve">Do not run null-hypothesis significance tests, fit a model or claim population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effects at n=6–8. Do not average away critical errors. Analyse open responses with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small deductive incident table linked to the observed task state and severity;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do not claim thematic saturation.</w:t>
      </w:r>
    </w:p>
    <w:bookmarkEnd w:id="40"/>
    <w:bookmarkStart w:id="41" w:name="preregistration-and-deviations"/>
    <w:p>
      <w:pPr>
        <w:pStyle w:val="Heading2"/>
        <w:keepNext/>
        <w:keepLines/>
      </w:pPr>
      <w:r>
        <w:rPr>
          <w:rFonts w:ascii="Calibri" w:hAnsi="Calibri"/>
        </w:rPr>
        <w:t xml:space="preserve">Preregistration and deviations</w:t>
      </w:r>
    </w:p>
    <w:p>
      <w:pPr>
        <w:pStyle w:val="FirstParagraph"/>
      </w:pPr>
      <w:r>
        <w:rPr>
          <w:rFonts w:ascii="Calibri" w:hAnsi="Calibri"/>
        </w:rPr>
        <w:t xml:space="preserve">Before the first session, register on OSF or the approved repository: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this protocol version and claim boundary;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frozen systems, templates, source sheet and end-state checklist;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participant criteria and target n;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random seed and AQ/QA schedule;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task-success, assist and error definitions;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measures and analysis plan;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exclusion/withdrawal rules; and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second-coder selection rule.</w:t>
      </w:r>
    </w:p>
    <w:p>
      <w:pPr>
        <w:pStyle w:val="FirstParagraph"/>
      </w:pPr>
      <w:r>
        <w:rPr>
          <w:rFonts w:ascii="Calibri" w:hAnsi="Calibri"/>
        </w:rPr>
        <w:t xml:space="preserve">Report every change after registration with date, reason, affected cases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whether it was made before or after seeing outcomes.</w:t>
      </w:r>
    </w:p>
    <w:bookmarkEnd w:id="41"/>
    <w:bookmarkStart w:id="42" w:name="Xdf8fec300e3134552479035e10521790a1d41c2"/>
    <w:p>
      <w:pPr>
        <w:pStyle w:val="Heading2"/>
        <w:keepNext/>
        <w:keepLines/>
      </w:pPr>
      <w:r>
        <w:rPr>
          <w:rFonts w:ascii="Calibri" w:hAnsi="Calibri"/>
        </w:rPr>
        <w:t xml:space="preserve">Recording, privacy and retention amendment text</w:t>
      </w:r>
    </w:p>
    <w:p>
      <w:pPr>
        <w:pStyle w:val="FirstParagraph"/>
      </w:pPr>
      <w:r>
        <w:rPr>
          <w:rFonts w:ascii="Calibri" w:hAnsi="Calibri"/>
        </w:rPr>
        <w:t xml:space="preserve">Active consent to study-window and session-audio recording is required to take part,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because the recording is needed to code task time, assists and errors and to permit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independent coding check. A person may decline without penalty; they will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then take part in this recorded study. A recording on a researcher's own computer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may incidentally capture identifying material such as account name, browser tabs,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notifications, file paths or voices. Participants will be asked to close unrelated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windows and mute notifications, but this risk cannot be eliminated.</w:t>
      </w:r>
    </w:p>
    <w:p>
      <w:pPr>
        <w:pStyle w:val="BodyText"/>
      </w:pPr>
      <w:r>
        <w:rPr>
          <w:rFonts w:ascii="Calibri" w:hAnsi="Calibri"/>
        </w:rPr>
        <w:t xml:space="preserve">Recordings will be transferred immediately to an access-controlled UCL Research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Data Storage Service (RDSS) project folder registered by the supervisor,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accessible only to Yurui Wang, Dr Mark Colley and the named UCL second coder in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approved amendment. They will not be uploaded to GitHub, personal cloud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storage or email. After the transfer is verified, securely remove the temporary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local copy. Securely delete the raw recordings no later than 30 November 2026,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after coding and the agreement check, and record the deletion date. Keep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consent/contact data separately from coded task data. The participant may pause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recording or request removal of identifiable and coded data until seven calendar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days after their session.</w:t>
      </w:r>
    </w:p>
    <w:p>
      <w:pPr>
        <w:pStyle w:val="BodyText"/>
      </w:pPr>
      <w:r>
        <w:rPr>
          <w:rFonts w:ascii="Calibri" w:hAnsi="Calibri"/>
        </w:rPr>
        <w:t xml:space="preserve">No payment is planned under protocol version 1.1. Any change to payment,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recording, storage, participant group or task requires prior ethics confirmation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updated participant materials.</w:t>
      </w:r>
    </w:p>
    <w:bookmarkEnd w:id="42"/>
    <w:bookmarkEnd w:id="43"/>
    <w:sectPr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observed researcher study  |  Protocol v1.1 | ethics amendment required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observed researcher study  |  Protocol v1.1 | ethics amendment required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Observed researcher study protocol v1.1</dc:title>
  <dc:creator>Yurui Wang</dc:creator>
  <cp:keywords>AQP, evaluation, accessibility, questionnaire</cp:keywords>
  <dcterms:created xsi:type="dcterms:W3CDTF">2026-08-10T00:40:32Z</dcterms:created>
  <dcterms:modified xsi:type="dcterms:W3CDTF">2026-08-10T00:40:32Z</dcterms:modified>
  <dc:subject>Protocol v1.1 | ethics amendment required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