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0" w:name="supervisor-feedback-closure-matrix-v2"/>
    <w:p>
      <w:pPr>
        <w:pStyle w:val="Heading1"/>
        <w:keepNext/>
        <w:keepLines/>
        <w:spacing w:before="160" w:after="80"/>
      </w:pPr>
      <w:r>
        <w:rPr>
          <w:rFonts w:ascii="Calibri" w:hAnsi="Calibri"/>
          <w:b/>
          <w:color w:val="000000"/>
          <w:sz w:val="46"/>
        </w:rPr>
        <w:t xml:space="preserve">Supervisor feedback closure matrix v2</w:t>
      </w:r>
    </w:p>
    <w:p>
      <w:pPr>
        <w:pStyle w:val="FirstParagraph"/>
      </w:pPr>
      <w:r>
        <w:rPr>
          <w:rFonts w:ascii="Calibri" w:hAnsi="Calibri"/>
        </w:rPr>
        <w:t xml:space="preserve">Version: 2.1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Frozen: 2026-08-10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Candidate branch:</w:t>
      </w:r>
      <w:r>
        <w:rPr>
          <w:rFonts w:ascii="Calibri" w:hAnsi="Calibri"/>
        </w:rPr>
        <w:t xml:space="preserve"> </w:t>
      </w:r>
      <w:r>
        <w:rPr>
          <w:rStyle w:val="VerbatimChar"/>
          <w:rFonts w:ascii="Calibri" w:hAnsi="Calibri"/>
        </w:rPr>
        <w:t xml:space="preserve">feat/researcher-wizard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Release rule: implementation is not marked release-complete until the named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test passes in CI for an immutable commit, its report is retained, the same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commit is deployed, and the deployment is re-tested.</w:t>
      </w:r>
    </w:p>
    <w:bookmarkStart w:id="20" w:name="status-codes"/>
    <w:p>
      <w:pPr>
        <w:pStyle w:val="Heading2"/>
        <w:keepNext/>
        <w:keepLines/>
      </w:pPr>
      <w:r>
        <w:rPr>
          <w:rFonts w:ascii="Calibri" w:hAnsi="Calibri"/>
        </w:rPr>
        <w:t xml:space="preserve">Status codes</w:t>
      </w:r>
    </w:p>
    <w:p>
      <w:pPr>
        <w:numPr>
          <w:ilvl w:val="0"/>
          <w:numId w:val="1001"/>
        </w:numPr>
        <w:pStyle w:val="Compact"/>
        <w:spacing w:after="160" w:line="280" w:lineRule="auto"/>
        <w:ind w:left="720" w:hanging="360"/>
      </w:pPr>
      <w:r>
        <w:rPr>
          <w:bCs/>
          <w:rFonts w:ascii="Calibri" w:hAnsi="Calibri"/>
          <w:b/>
        </w:rPr>
        <w:t xml:space="preserve">Local-pass: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production code and a falsifiable local test pass.</w:t>
      </w:r>
    </w:p>
    <w:p>
      <w:pPr>
        <w:numPr>
          <w:ilvl w:val="0"/>
          <w:numId w:val="1001"/>
        </w:numPr>
        <w:pStyle w:val="Compact"/>
        <w:spacing w:after="160" w:line="280" w:lineRule="auto"/>
        <w:ind w:left="720" w:hanging="360"/>
      </w:pPr>
      <w:r>
        <w:rPr>
          <w:bCs/>
          <w:rFonts w:ascii="Calibri" w:hAnsi="Calibri"/>
          <w:b/>
        </w:rPr>
        <w:t xml:space="preserve">CI-pending: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a real-browser or release result needs the Draft PR CI run.</w:t>
      </w:r>
    </w:p>
    <w:p>
      <w:pPr>
        <w:numPr>
          <w:ilvl w:val="0"/>
          <w:numId w:val="1001"/>
        </w:numPr>
        <w:pStyle w:val="Compact"/>
        <w:spacing w:after="160" w:line="280" w:lineRule="auto"/>
        <w:ind w:left="720" w:hanging="360"/>
      </w:pPr>
      <w:r>
        <w:rPr>
          <w:bCs/>
          <w:rFonts w:ascii="Calibri" w:hAnsi="Calibri"/>
          <w:b/>
        </w:rPr>
        <w:t xml:space="preserve">Manual-NT: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the required observation has not been made and is not counted.</w:t>
      </w:r>
    </w:p>
    <w:p>
      <w:pPr>
        <w:numPr>
          <w:ilvl w:val="0"/>
          <w:numId w:val="1001"/>
        </w:numPr>
        <w:pStyle w:val="Compact"/>
        <w:spacing w:after="160" w:line="280" w:lineRule="auto"/>
        <w:ind w:left="720" w:hanging="360"/>
      </w:pPr>
      <w:r>
        <w:rPr>
          <w:bCs/>
          <w:rFonts w:ascii="Calibri" w:hAnsi="Calibri"/>
          <w:b/>
        </w:rPr>
        <w:t xml:space="preserve">Protocol-ready: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a complete method exists but no participant data exist.</w:t>
      </w:r>
    </w:p>
    <w:p>
      <w:pPr>
        <w:numPr>
          <w:ilvl w:val="0"/>
          <w:numId w:val="1001"/>
        </w:numPr>
        <w:pStyle w:val="Compact"/>
        <w:spacing w:after="160" w:line="280" w:lineRule="auto"/>
        <w:ind w:left="720" w:hanging="360"/>
      </w:pPr>
      <w:r>
        <w:rPr>
          <w:bCs/>
          <w:rFonts w:ascii="Calibri" w:hAnsi="Calibri"/>
          <w:b/>
        </w:rPr>
        <w:t xml:space="preserve">Blocked: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a named external decision, permission or approval is missing.</w:t>
      </w:r>
    </w:p>
    <w:bookmarkEnd w:id="20"/>
    <w:bookmarkStart w:id="21" w:name="a-first-five-code-corrections"/>
    <w:p>
      <w:pPr>
        <w:pStyle w:val="Heading2"/>
        <w:keepNext/>
        <w:keepLines/>
      </w:pPr>
      <w:r>
        <w:rPr>
          <w:rFonts w:ascii="Calibri" w:hAnsi="Calibri"/>
        </w:rPr>
        <w:t xml:space="preserve">A. First five code corrections</w:t>
      </w:r>
    </w:p>
    <w:tbl>
      <w:tblPr>
        <w:tblW w:type="dxa" w:w="14112"/>
        <w:jc w:val="left"/>
        <w:tblLayout w:type="fixed"/>
        <w:tblLook w:firstRow="1" w:lastRow="0" w:firstColumn="0" w:lastColumn="0" w:noHBand="0" w:noVBand="0" w:val="0020"/>
        <w:tblInd w:type="dxa" w:w="120"/>
      </w:tblPr>
      <w:tblGrid>
        <w:gridCol w:w="648"/>
        <w:gridCol w:w="2376"/>
        <w:gridCol w:w="3168"/>
        <w:gridCol w:w="3024"/>
        <w:gridCol w:w="2088"/>
        <w:gridCol w:w="2808"/>
      </w:tblGrid>
      <w:tr>
        <w:trPr>
          <w:tblHeader w:val="true"/>
          <w:tblHeader w:val="true"/>
          <w:cantSplit/>
        </w:trPr>
        <w:tc>
          <w:tcPr>
            <w:vAlign w:val="top"/>
            <w:tcW w:type="dxa" w:w="648"/>
            <w:shd w:fill="F2F4F7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b/>
                <w:sz w:val="15"/>
              </w:rPr>
              <w:t xml:space="preserve">ID</w:t>
            </w:r>
          </w:p>
        </w:tc>
        <w:tc>
          <w:tcPr>
            <w:vAlign w:val="top"/>
            <w:tcW w:type="dxa" w:w="2376"/>
            <w:shd w:fill="F2F4F7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b/>
                <w:sz w:val="15"/>
              </w:rPr>
              <w:t xml:space="preserve">Supervisor requirement</w:t>
            </w:r>
          </w:p>
        </w:tc>
        <w:tc>
          <w:tcPr>
            <w:vAlign w:val="top"/>
            <w:tcW w:type="dxa" w:w="3168"/>
            <w:shd w:fill="F2F4F7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b/>
                <w:sz w:val="15"/>
              </w:rPr>
              <w:t xml:space="preserve">Implemented evidence</w:t>
            </w:r>
          </w:p>
        </w:tc>
        <w:tc>
          <w:tcPr>
            <w:vAlign w:val="top"/>
            <w:tcW w:type="dxa" w:w="3024"/>
            <w:shd w:fill="F2F4F7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b/>
                <w:sz w:val="15"/>
              </w:rPr>
              <w:t xml:space="preserve">Falsifiable evidence</w:t>
            </w:r>
          </w:p>
        </w:tc>
        <w:tc>
          <w:tcPr>
            <w:vAlign w:val="top"/>
            <w:tcW w:type="dxa" w:w="2088"/>
            <w:shd w:fill="F2F4F7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b/>
                <w:sz w:val="15"/>
              </w:rPr>
              <w:t xml:space="preserve">Current status</w:t>
            </w:r>
          </w:p>
        </w:tc>
        <w:tc>
          <w:tcPr>
            <w:vAlign w:val="top"/>
            <w:tcW w:type="dxa" w:w="2808"/>
            <w:shd w:fill="F2F4F7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b/>
                <w:sz w:val="15"/>
              </w:rPr>
              <w:t xml:space="preserve">Final gate</w:t>
            </w:r>
          </w:p>
        </w:tc>
      </w:tr>
      <w:tr>
        <w:trPr>
          <w:cantSplit/>
        </w:trPr>
        <w:tc>
          <w:tcPr>
            <w:tcW w:type="dxa" w:w="648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F1</w:t>
            </w:r>
          </w:p>
        </w:tc>
        <w:tc>
          <w:tcPr>
            <w:tcW w:type="dxa" w:w="2376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Review shows the item statement, selected answer label and one direct Change control per item.</w:t>
            </w:r>
          </w:p>
        </w:tc>
        <w:tc>
          <w:tcPr>
            <w:tcW w:type="dxa" w:w="3168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Style w:val="VerbatimChar"/>
                <w:rFonts w:ascii="Calibri" w:hAnsi="Calibri"/>
                <w:sz w:val="15"/>
              </w:rPr>
              <w:t xml:space="preserve">source/src/accessible-nasa-tlx.ts</w:t>
            </w:r>
            <w:r>
              <w:rPr>
                <w:rFonts w:ascii="Calibri" w:hAnsi="Calibri"/>
                <w:sz w:val="15"/>
              </w:rPr>
              <w:t xml:space="preserve">: review records; unique visible</w:t>
            </w:r>
            <w:r>
              <w:rPr>
                <w:rFonts w:ascii="Calibri" w:hAnsi="Calibri"/>
                <w:sz w:val="15"/>
              </w:rPr>
              <w:t xml:space="preserve"> </w:t>
            </w:r>
            <w:r>
              <w:rPr>
                <w:bCs/>
                <w:rFonts w:ascii="Calibri" w:hAnsi="Calibri"/>
                <w:b/>
                <w:sz w:val="15"/>
              </w:rPr>
              <w:t xml:space="preserve">Change item N answer</w:t>
            </w:r>
            <w:r>
              <w:rPr>
                <w:rFonts w:ascii="Calibri" w:hAnsi="Calibri"/>
                <w:sz w:val="15"/>
              </w:rPr>
              <w:t xml:space="preserve"> </w:t>
            </w:r>
            <w:r>
              <w:rPr>
                <w:rFonts w:ascii="Calibri" w:hAnsi="Calibri"/>
                <w:sz w:val="15"/>
              </w:rPr>
              <w:t xml:space="preserve">labels; gaze targets; direct edit and focus return; transactional pending value/input route.</w:t>
            </w:r>
          </w:p>
        </w:tc>
        <w:tc>
          <w:tcPr>
            <w:tcW w:type="dxa" w:w="3024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Component and rendered-browser routes test direct Save and real Cancel-after-selection. Before Save, recovery storage remains on Review with the original value, input route and score; Cancel retains them; Save alone commits. A failure includes a missing prompt/label, non-unique or non-targetable Change control, opening the wrong item, false cancellation, premature storage, changing another answer or failing to return focus.</w:t>
            </w:r>
          </w:p>
        </w:tc>
        <w:tc>
          <w:tcPr>
            <w:tcW w:type="dxa" w:w="2088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Local-pass for implementation and non-browser regression. Manual A16/A17/A21 remain NT; Draft PR CI, merge and deployment remain pending.</w:t>
            </w:r>
          </w:p>
        </w:tc>
        <w:tc>
          <w:tcPr>
            <w:tcW w:type="dxa" w:w="2808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Current-candidate browser CI; execute A16/A17/A21; then merge with authority, deploy and smoke-test both Save and Cancel on the public build.</w:t>
            </w:r>
          </w:p>
        </w:tc>
      </w:tr>
      <w:tr>
        <w:trPr>
          <w:cantSplit/>
        </w:trPr>
        <w:tc>
          <w:tcPr>
            <w:tcW w:type="dxa" w:w="648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F2</w:t>
            </w:r>
          </w:p>
        </w:tc>
        <w:tc>
          <w:tcPr>
            <w:tcW w:type="dxa" w:w="2376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Participant code is prefilled from the generated link and remains editable as fallback.</w:t>
            </w:r>
          </w:p>
        </w:tc>
        <w:tc>
          <w:tcPr>
            <w:tcW w:type="dxa" w:w="3168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Style w:val="VerbatimChar"/>
                <w:rFonts w:ascii="Calibri" w:hAnsi="Calibri"/>
                <w:sz w:val="15"/>
              </w:rPr>
              <w:t xml:space="preserve">source/src/study.ts</w:t>
            </w:r>
            <w:r>
              <w:rPr>
                <w:rFonts w:ascii="Calibri" w:hAnsi="Calibri"/>
                <w:sz w:val="15"/>
              </w:rPr>
              <w:t xml:space="preserve"> </w:t>
            </w:r>
            <w:r>
              <w:rPr>
                <w:rFonts w:ascii="Calibri" w:hAnsi="Calibri"/>
                <w:sz w:val="15"/>
              </w:rPr>
              <w:t xml:space="preserve">and</w:t>
            </w:r>
            <w:r>
              <w:rPr>
                <w:rFonts w:ascii="Calibri" w:hAnsi="Calibri"/>
                <w:sz w:val="15"/>
              </w:rPr>
              <w:t xml:space="preserve"> </w:t>
            </w:r>
            <w:r>
              <w:rPr>
                <w:rStyle w:val="VerbatimChar"/>
                <w:rFonts w:ascii="Calibri" w:hAnsi="Calibri"/>
                <w:sz w:val="15"/>
              </w:rPr>
              <w:t xml:space="preserve">study-conductor.ts</w:t>
            </w:r>
            <w:r>
              <w:rPr>
                <w:rFonts w:ascii="Calibri" w:hAnsi="Calibri"/>
                <w:sz w:val="15"/>
              </w:rPr>
              <w:t xml:space="preserve">: per-link pseudonymous code, validation and stale-session precedence.</w:t>
            </w:r>
          </w:p>
        </w:tc>
        <w:tc>
          <w:tcPr>
            <w:tcW w:type="dxa" w:w="3024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Link generation/load/recovery tests and rendered intro assertion.</w:t>
            </w:r>
          </w:p>
        </w:tc>
        <w:tc>
          <w:tcPr>
            <w:tcW w:type="dxa" w:w="2088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Local-pass.</w:t>
            </w:r>
          </w:p>
        </w:tc>
        <w:tc>
          <w:tcPr>
            <w:tcW w:type="dxa" w:w="2808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CI, deploy, open two distinct generated links and confirm distinct editable codes and no first-screen validation error.</w:t>
            </w:r>
          </w:p>
        </w:tc>
      </w:tr>
      <w:tr>
        <w:trPr>
          <w:cantSplit/>
        </w:trPr>
        <w:tc>
          <w:tcPr>
            <w:tcW w:type="dxa" w:w="648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F3</w:t>
            </w:r>
          </w:p>
        </w:tc>
        <w:tc>
          <w:tcPr>
            <w:tcW w:type="dxa" w:w="2376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Participant introduction is minimal; full audio guidance appears once, not before every item.</w:t>
            </w:r>
          </w:p>
        </w:tc>
        <w:tc>
          <w:tcPr>
            <w:tcW w:type="dxa" w:w="3168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Intro/support disclosure and compact in-question controls in</w:t>
            </w:r>
            <w:r>
              <w:rPr>
                <w:rFonts w:ascii="Calibri" w:hAnsi="Calibri"/>
                <w:sz w:val="15"/>
              </w:rPr>
              <w:t xml:space="preserve"> </w:t>
            </w:r>
            <w:r>
              <w:rPr>
                <w:rStyle w:val="VerbatimChar"/>
                <w:rFonts w:ascii="Calibri" w:hAnsi="Calibri"/>
                <w:sz w:val="15"/>
              </w:rPr>
              <w:t xml:space="preserve">accessible-nasa-tlx.ts</w:t>
            </w:r>
            <w:r>
              <w:rPr>
                <w:rFonts w:ascii="Calibri" w:hAnsi="Calibri"/>
                <w:sz w:val="15"/>
              </w:rPr>
              <w:t xml:space="preserve">.</w:t>
            </w:r>
          </w:p>
        </w:tc>
        <w:tc>
          <w:tcPr>
            <w:tcW w:type="dxa" w:w="3024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Intro word-count gate and absence of</w:t>
            </w:r>
            <w:r>
              <w:rPr>
                <w:rFonts w:ascii="Calibri" w:hAnsi="Calibri"/>
                <w:sz w:val="15"/>
              </w:rPr>
              <w:t xml:space="preserve"> </w:t>
            </w:r>
            <w:r>
              <w:rPr>
                <w:rStyle w:val="VerbatimChar"/>
                <w:rFonts w:ascii="Calibri" w:hAnsi="Calibri"/>
                <w:sz w:val="15"/>
              </w:rPr>
              <w:t xml:space="preserve">.audio-guidance</w:t>
            </w:r>
            <w:r>
              <w:rPr>
                <w:rFonts w:ascii="Calibri" w:hAnsi="Calibri"/>
                <w:sz w:val="15"/>
              </w:rPr>
              <w:t xml:space="preserve"> </w:t>
            </w:r>
            <w:r>
              <w:rPr>
                <w:rFonts w:ascii="Calibri" w:hAnsi="Calibri"/>
                <w:sz w:val="15"/>
              </w:rPr>
              <w:t xml:space="preserve">on item/review states.</w:t>
            </w:r>
          </w:p>
        </w:tc>
        <w:tc>
          <w:tcPr>
            <w:tcW w:type="dxa" w:w="2088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Local-pass.</w:t>
            </w:r>
          </w:p>
        </w:tc>
        <w:tc>
          <w:tcPr>
            <w:tcW w:type="dxa" w:w="2808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CI and deployed intro/item/review inspection.</w:t>
            </w:r>
          </w:p>
        </w:tc>
      </w:tr>
      <w:tr>
        <w:trPr>
          <w:cantSplit/>
        </w:trPr>
        <w:tc>
          <w:tcPr>
            <w:tcW w:type="dxa" w:w="648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F4</w:t>
            </w:r>
          </w:p>
        </w:tc>
        <w:tc>
          <w:tcPr>
            <w:tcW w:type="dxa" w:w="2376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Canonical definition hash is in configuration and result and is verified at load and submission.</w:t>
            </w:r>
          </w:p>
        </w:tc>
        <w:tc>
          <w:tcPr>
            <w:tcW w:type="dxa" w:w="3168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Version 4 configuration/result schemas, canonical SHA-256, CSV/Qualtrics fields and fail-closed checks.</w:t>
            </w:r>
          </w:p>
        </w:tc>
        <w:tc>
          <w:tcPr>
            <w:tcW w:type="dxa" w:w="3024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Missing/stale hash link, submission and stored-result tamper tests; export reconstruction test.</w:t>
            </w:r>
          </w:p>
        </w:tc>
        <w:tc>
          <w:tcPr>
            <w:tcW w:type="dxa" w:w="2088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Local-pass.</w:t>
            </w:r>
          </w:p>
        </w:tc>
        <w:tc>
          <w:tcPr>
            <w:tcW w:type="dxa" w:w="2808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CI and deployed tampered-link/submission checks. The hash proves consistency, not authenticated authorship.</w:t>
            </w:r>
          </w:p>
        </w:tc>
      </w:tr>
      <w:tr>
        <w:trPr>
          <w:cantSplit/>
        </w:trPr>
        <w:tc>
          <w:tcPr>
            <w:tcW w:type="dxa" w:w="648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F5</w:t>
            </w:r>
          </w:p>
        </w:tc>
        <w:tc>
          <w:tcPr>
            <w:tcW w:type="dxa" w:w="2376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Real-browser axe scans run in CI and publish a report.</w:t>
            </w:r>
          </w:p>
        </w:tc>
        <w:tc>
          <w:tcPr>
            <w:tcW w:type="dxa" w:w="3168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Playwright specification,</w:t>
            </w:r>
            <w:r>
              <w:rPr>
                <w:rFonts w:ascii="Calibri" w:hAnsi="Calibri"/>
                <w:sz w:val="15"/>
              </w:rPr>
              <w:t xml:space="preserve"> </w:t>
            </w:r>
            <w:r>
              <w:rPr>
                <w:rStyle w:val="VerbatimChar"/>
                <w:rFonts w:ascii="Calibri" w:hAnsi="Calibri"/>
                <w:sz w:val="15"/>
              </w:rPr>
              <w:t xml:space="preserve">verify.yml</w:t>
            </w:r>
            <w:r>
              <w:rPr>
                <w:rFonts w:ascii="Calibri" w:hAnsi="Calibri"/>
                <w:sz w:val="15"/>
              </w:rPr>
              <w:t xml:space="preserve">, JSON/HTML publisher and uploaded Playwright traces/results.</w:t>
            </w:r>
          </w:p>
        </w:tc>
        <w:tc>
          <w:tcPr>
            <w:tcW w:type="dxa" w:w="3024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Frozen S01–S27 inventory × five profiles = 135 required rows; missing rows, violations, incomplete checks, overflow and target-size failures are reported.</w:t>
            </w:r>
          </w:p>
        </w:tc>
        <w:tc>
          <w:tcPr>
            <w:tcW w:type="dxa" w:w="2088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CI-pending. Local test listing confirms seven scenarios; this environment has no browser binary.</w:t>
            </w:r>
          </w:p>
        </w:tc>
        <w:tc>
          <w:tcPr>
            <w:tcW w:type="dxa" w:w="2808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Draft PR CI must publish 135/135 rows; repeat on final main/release SHA.</w:t>
            </w:r>
          </w:p>
        </w:tc>
      </w:tr>
    </w:tbl>
    <w:bookmarkEnd w:id="21"/>
    <w:bookmarkStart w:id="22" w:name="Xb1d9d79430ef10e0abb050ce7d647200acfc939"/>
    <w:p>
      <w:pPr>
        <w:pStyle w:val="Heading2"/>
        <w:keepNext/>
        <w:keepLines/>
      </w:pPr>
      <w:r>
        <w:rPr>
          <w:rFonts w:ascii="Calibri" w:hAnsi="Calibri"/>
        </w:rPr>
        <w:t xml:space="preserve">B. Latest feedback, section 1 — manual technical accessibility audit</w:t>
      </w:r>
    </w:p>
    <w:tbl>
      <w:tblPr>
        <w:tblW w:type="dxa" w:w="14112"/>
        <w:jc w:val="left"/>
        <w:tblLayout w:type="fixed"/>
        <w:tblLook w:firstRow="1" w:lastRow="0" w:firstColumn="0" w:lastColumn="0" w:noHBand="0" w:noVBand="0" w:val="0020"/>
        <w:tblInd w:type="dxa" w:w="120"/>
      </w:tblPr>
      <w:tblGrid>
        <w:gridCol w:w="2605"/>
        <w:gridCol w:w="3908"/>
        <w:gridCol w:w="3908"/>
        <w:gridCol w:w="3691"/>
      </w:tblGrid>
      <w:tr>
        <w:trPr>
          <w:tblHeader w:val="true"/>
          <w:tblHeader w:val="true"/>
          <w:cantSplit/>
        </w:trPr>
        <w:tc>
          <w:tcPr>
            <w:vAlign w:val="top"/>
            <w:tcW w:type="dxa" w:w="2605"/>
            <w:shd w:fill="F2F4F7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b/>
                <w:sz w:val="15"/>
              </w:rPr>
              <w:t xml:space="preserve">Requirement</w:t>
            </w:r>
          </w:p>
        </w:tc>
        <w:tc>
          <w:tcPr>
            <w:vAlign w:val="top"/>
            <w:tcW w:type="dxa" w:w="3908"/>
            <w:shd w:fill="F2F4F7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b/>
                <w:sz w:val="15"/>
              </w:rPr>
              <w:t xml:space="preserve">Evidence artefact</w:t>
            </w:r>
          </w:p>
        </w:tc>
        <w:tc>
          <w:tcPr>
            <w:vAlign w:val="top"/>
            <w:tcW w:type="dxa" w:w="3908"/>
            <w:shd w:fill="F2F4F7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b/>
                <w:sz w:val="15"/>
              </w:rPr>
              <w:t xml:space="preserve">Current status</w:t>
            </w:r>
          </w:p>
        </w:tc>
        <w:tc>
          <w:tcPr>
            <w:vAlign w:val="top"/>
            <w:tcW w:type="dxa" w:w="3691"/>
            <w:shd w:fill="F2F4F7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b/>
                <w:sz w:val="15"/>
              </w:rPr>
              <w:t xml:space="preserve">Completion rule</w:t>
            </w:r>
          </w:p>
        </w:tc>
      </w:tr>
      <w:tr>
        <w:trPr>
          <w:cantSplit/>
        </w:trPr>
        <w:tc>
          <w:tcPr>
            <w:tcW w:type="dxa" w:w="2605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NVDA/Firefox, NVDA/Chrome, VoiceOver/Safari and one OS voice-control walkthrough.</w:t>
            </w:r>
          </w:p>
        </w:tc>
        <w:tc>
          <w:tcPr>
            <w:tcW w:type="dxa" w:w="3908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Style w:val="VerbatimChar"/>
                <w:rFonts w:ascii="Calibri" w:hAnsi="Calibri"/>
                <w:sz w:val="15"/>
              </w:rPr>
              <w:t xml:space="preserve">docs/manual-audit/AQP-MANUAL-AT-AUDIT-v1.0.md</w:t>
            </w:r>
            <w:r>
              <w:rPr>
                <w:rFonts w:ascii="Calibri" w:hAnsi="Calibri"/>
                <w:sz w:val="15"/>
              </w:rPr>
              <w:t xml:space="preserve"> </w:t>
            </w:r>
            <w:r>
              <w:rPr>
                <w:rFonts w:ascii="Calibri" w:hAnsi="Calibri"/>
                <w:sz w:val="15"/>
              </w:rPr>
              <w:t xml:space="preserve">(protocol v1.1).</w:t>
            </w:r>
          </w:p>
        </w:tc>
        <w:tc>
          <w:tcPr>
            <w:tcW w:type="dxa" w:w="3908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Manual-NT on all four routes.</w:t>
            </w:r>
          </w:p>
        </w:tc>
        <w:tc>
          <w:tcPr>
            <w:tcW w:type="dxa" w:w="3691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Record exact OS/browser/AT versions and replace every applicable NT with P/F/NA plus evidence ID.</w:t>
            </w:r>
          </w:p>
        </w:tc>
      </w:tr>
      <w:tr>
        <w:trPr>
          <w:cantSplit/>
        </w:trPr>
        <w:tc>
          <w:tcPr>
            <w:tcW w:type="dxa" w:w="2605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Cover every participant state, including pairwise, review, error, voice listening/pending and saved-progress offer.</w:t>
            </w:r>
          </w:p>
        </w:tc>
        <w:tc>
          <w:tcPr>
            <w:tcW w:type="dxa" w:w="3908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S01–S27 maps to A01–A33 in</w:t>
            </w:r>
            <w:r>
              <w:rPr>
                <w:rFonts w:ascii="Calibri" w:hAnsi="Calibri"/>
                <w:sz w:val="15"/>
              </w:rPr>
              <w:t xml:space="preserve"> </w:t>
            </w:r>
            <w:r>
              <w:rPr>
                <w:rStyle w:val="VerbatimChar"/>
                <w:rFonts w:ascii="Calibri" w:hAnsi="Calibri"/>
                <w:sz w:val="15"/>
              </w:rPr>
              <w:t xml:space="preserve">docs/PARTICIPANT-RUNNER-STATE-INVENTORY-v1.md</w:t>
            </w:r>
            <w:r>
              <w:rPr>
                <w:rFonts w:ascii="Calibri" w:hAnsi="Calibri"/>
                <w:sz w:val="15"/>
              </w:rPr>
              <w:t xml:space="preserve">.</w:t>
            </w:r>
          </w:p>
        </w:tc>
        <w:tc>
          <w:tcPr>
            <w:tcW w:type="dxa" w:w="3908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Protocol-ready; observations NT.</w:t>
            </w:r>
          </w:p>
        </w:tc>
        <w:tc>
          <w:tcPr>
            <w:tcW w:type="dxa" w:w="3691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Run A01–A33 on the applicable routes; an untested state cannot be inferred from source or axe.</w:t>
            </w:r>
          </w:p>
        </w:tc>
      </w:tr>
      <w:tr>
        <w:trPr>
          <w:cantSplit/>
        </w:trPr>
        <w:tc>
          <w:tcPr>
            <w:tcW w:type="dxa" w:w="2605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Report by WCAG criterion with exact announcements and treat unusable markup as fail.</w:t>
            </w:r>
          </w:p>
        </w:tc>
        <w:tc>
          <w:tcPr>
            <w:tcW w:type="dxa" w:w="3908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WCAG route summary, exact-speech fields, P/F/NA/NT rules and S1–S3 issue log in the audit.</w:t>
            </w:r>
          </w:p>
        </w:tc>
        <w:tc>
          <w:tcPr>
            <w:tcW w:type="dxa" w:w="3908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Protocol-ready; observations NT.</w:t>
            </w:r>
          </w:p>
        </w:tc>
        <w:tc>
          <w:tcPr>
            <w:tcW w:type="dxa" w:w="3691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Transcribe actual speech, including</w:t>
            </w:r>
            <w:r>
              <w:rPr>
                <w:rFonts w:ascii="Calibri" w:hAnsi="Calibri"/>
                <w:sz w:val="15"/>
              </w:rPr>
              <w:t xml:space="preserve"> </w:t>
            </w:r>
            <w:r>
              <w:rPr>
                <w:rStyle w:val="VerbatimChar"/>
                <w:rFonts w:ascii="Calibri" w:hAnsi="Calibri"/>
                <w:sz w:val="15"/>
              </w:rPr>
              <w:t xml:space="preserve">[no announcement]</w:t>
            </w:r>
            <w:r>
              <w:rPr>
                <w:rFonts w:ascii="Calibri" w:hAnsi="Calibri"/>
                <w:sz w:val="15"/>
              </w:rPr>
              <w:t xml:space="preserve">; zero NT before calling the audit complete.</w:t>
            </w:r>
          </w:p>
        </w:tc>
      </w:tr>
      <w:tr>
        <w:trPr>
          <w:cantSplit/>
        </w:trPr>
        <w:tc>
          <w:tcPr>
            <w:tcW w:type="dxa" w:w="2605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Publish a versioned audit and bound the claim.</w:t>
            </w:r>
          </w:p>
        </w:tc>
        <w:tc>
          <w:tcPr>
            <w:tcW w:type="dxa" w:w="3908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Audit publication wording and matrix C2.</w:t>
            </w:r>
          </w:p>
        </w:tc>
        <w:tc>
          <w:tcPr>
            <w:tcW w:type="dxa" w:w="3908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Document ready; C2 Not evidenced.</w:t>
            </w:r>
          </w:p>
        </w:tc>
        <w:tc>
          <w:tcPr>
            <w:tcW w:type="dxa" w:w="3691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Publish only after execution; state technical audit only and no disabled-user benefit evidence.</w:t>
            </w:r>
          </w:p>
        </w:tc>
      </w:tr>
    </w:tbl>
    <w:bookmarkEnd w:id="22"/>
    <w:bookmarkStart w:id="23" w:name="Xfa5c0594cceacd298a1a921dbf5fea80a7de467"/>
    <w:p>
      <w:pPr>
        <w:pStyle w:val="Heading2"/>
        <w:keepNext/>
        <w:keepLines/>
      </w:pPr>
      <w:r>
        <w:rPr>
          <w:rFonts w:ascii="Calibri" w:hAnsi="Calibri"/>
        </w:rPr>
        <w:t xml:space="preserve">C. Latest feedback, section 2 — quantified technical evaluation</w:t>
      </w:r>
    </w:p>
    <w:tbl>
      <w:tblPr>
        <w:tblW w:type="dxa" w:w="14112"/>
        <w:jc w:val="left"/>
        <w:tblLayout w:type="fixed"/>
        <w:tblLook w:firstRow="1" w:lastRow="0" w:firstColumn="0" w:lastColumn="0" w:noHBand="0" w:noVBand="0" w:val="0020"/>
        <w:tblInd w:type="dxa" w:w="120"/>
      </w:tblPr>
      <w:tblGrid>
        <w:gridCol w:w="2822"/>
        <w:gridCol w:w="2822"/>
        <w:gridCol w:w="2822"/>
        <w:gridCol w:w="2822"/>
        <w:gridCol w:w="2824"/>
      </w:tblGrid>
      <w:tr>
        <w:trPr>
          <w:tblHeader w:val="true"/>
          <w:tblHeader w:val="true"/>
          <w:cantSplit/>
        </w:trPr>
        <w:tc>
          <w:tcPr>
            <w:vAlign w:val="top"/>
            <w:tcW w:type="dxa" w:w="2822"/>
            <w:shd w:fill="F2F4F7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b/>
                <w:sz w:val="15"/>
              </w:rPr>
              <w:t xml:space="preserve">ID</w:t>
            </w:r>
          </w:p>
        </w:tc>
        <w:tc>
          <w:tcPr>
            <w:vAlign w:val="top"/>
            <w:tcW w:type="dxa" w:w="2822"/>
            <w:shd w:fill="F2F4F7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b/>
                <w:sz w:val="15"/>
              </w:rPr>
              <w:t xml:space="preserve">Required evaluation</w:t>
            </w:r>
          </w:p>
        </w:tc>
        <w:tc>
          <w:tcPr>
            <w:vAlign w:val="top"/>
            <w:tcW w:type="dxa" w:w="2822"/>
            <w:shd w:fill="F2F4F7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b/>
                <w:sz w:val="15"/>
              </w:rPr>
              <w:t xml:space="preserve">Reproducible artefact</w:t>
            </w:r>
          </w:p>
        </w:tc>
        <w:tc>
          <w:tcPr>
            <w:vAlign w:val="top"/>
            <w:tcW w:type="dxa" w:w="2822"/>
            <w:shd w:fill="F2F4F7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b/>
                <w:sz w:val="15"/>
              </w:rPr>
              <w:t xml:space="preserve">Current quantified result</w:t>
            </w:r>
          </w:p>
        </w:tc>
        <w:tc>
          <w:tcPr>
            <w:vAlign w:val="top"/>
            <w:tcW w:type="dxa" w:w="2824"/>
            <w:shd w:fill="F2F4F7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b/>
                <w:sz w:val="15"/>
              </w:rPr>
              <w:t xml:space="preserve">Status/gap</w:t>
            </w:r>
          </w:p>
        </w:tc>
      </w:tr>
      <w:tr>
        <w:trPr>
          <w:cantSplit/>
        </w:trPr>
        <w:tc>
          <w:tcPr>
            <w:tcW w:type="dxa" w:w="2822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T1</w:t>
            </w:r>
          </w:p>
        </w:tc>
        <w:tc>
          <w:tcPr>
            <w:tcW w:type="dxa" w:w="2822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Programmatic fidelity round trip against independent truth for built-ins and every QSF/LSS/LSG/LSQ fixture.</w:t>
            </w:r>
          </w:p>
        </w:tc>
        <w:tc>
          <w:tcPr>
            <w:tcW w:type="dxa" w:w="2822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Style w:val="VerbatimChar"/>
                <w:rFonts w:ascii="Calibri" w:hAnsi="Calibri"/>
                <w:sz w:val="15"/>
              </w:rPr>
              <w:t xml:space="preserve">docs/evidence/fidelity-source-of-truth.json</w:t>
            </w:r>
            <w:r>
              <w:rPr>
                <w:rFonts w:ascii="Calibri" w:hAnsi="Calibri"/>
                <w:sz w:val="15"/>
              </w:rPr>
              <w:t xml:space="preserve">,</w:t>
            </w:r>
            <w:r>
              <w:rPr>
                <w:rFonts w:ascii="Calibri" w:hAnsi="Calibri"/>
                <w:sz w:val="15"/>
              </w:rPr>
              <w:t xml:space="preserve"> </w:t>
            </w:r>
            <w:r>
              <w:rPr>
                <w:rStyle w:val="VerbatimChar"/>
                <w:rFonts w:ascii="Calibri" w:hAnsi="Calibri"/>
                <w:sz w:val="15"/>
              </w:rPr>
              <w:t xml:space="preserve">source/tests/technical-evaluation.test.ts</w:t>
            </w:r>
            <w:r>
              <w:rPr>
                <w:rFonts w:ascii="Calibri" w:hAnsi="Calibri"/>
                <w:sz w:val="15"/>
              </w:rPr>
              <w:t xml:space="preserve">, generated JSON/HTML report.</w:t>
            </w:r>
          </w:p>
        </w:tc>
        <w:tc>
          <w:tcPr>
            <w:tcW w:type="dxa" w:w="2822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8 cases, 31 items, 234 field comparisons, 0 mismatches.</w:t>
            </w:r>
          </w:p>
        </w:tc>
        <w:tc>
          <w:tcPr>
            <w:tcW w:type="dxa" w:w="2824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Local-pass. Only three distributable built-ins are present; UEQ-S is excluded pending redistribution permission. This is a disclosed scope shortfall, not a fourth pass.</w:t>
            </w:r>
          </w:p>
        </w:tc>
      </w:tr>
      <w:tr>
        <w:trPr>
          <w:cantSplit/>
        </w:trPr>
        <w:tc>
          <w:tcPr>
            <w:tcW w:type="dxa" w:w="2822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T2</w:t>
            </w:r>
          </w:p>
        </w:tc>
        <w:tc>
          <w:tcPr>
            <w:tcW w:type="dxa" w:w="2822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Twelve-row adversarial battery and zero silently altered.</w:t>
            </w:r>
          </w:p>
        </w:tc>
        <w:tc>
          <w:tcPr>
            <w:tcW w:type="dxa" w:w="2822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Same technical test/report.</w:t>
            </w:r>
          </w:p>
        </w:tc>
        <w:tc>
          <w:tcPr>
            <w:tcW w:type="dxa" w:w="2822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12 inputs: 10 specific refusals, 2 generic XML refusals, 0 accepted losses, 0 silently altered.</w:t>
            </w:r>
          </w:p>
        </w:tc>
        <w:tc>
          <w:tcPr>
            <w:tcW w:type="dxa" w:w="2824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Local-pass; CI/final release reproduction pending.</w:t>
            </w:r>
          </w:p>
        </w:tc>
      </w:tr>
      <w:tr>
        <w:trPr>
          <w:cantSplit/>
        </w:trPr>
        <w:tc>
          <w:tcPr>
            <w:tcW w:type="dxa" w:w="2822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T3</w:t>
            </w:r>
          </w:p>
        </w:tc>
        <w:tc>
          <w:tcPr>
            <w:tcW w:type="dxa" w:w="2822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Every runner state at 1280, 768, 320 and 200% zoom, with build artefact.</w:t>
            </w:r>
          </w:p>
        </w:tc>
        <w:tc>
          <w:tcPr>
            <w:tcW w:type="dxa" w:w="2822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Frozen state inventory, Playwright/axe spec, CI workflow and report publisher.</w:t>
            </w:r>
          </w:p>
        </w:tc>
        <w:tc>
          <w:tcPr>
            <w:tcW w:type="dxa" w:w="2822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Required denominator 27 × 5 = 135.</w:t>
            </w:r>
          </w:p>
        </w:tc>
        <w:tc>
          <w:tcPr>
            <w:tcW w:type="dxa" w:w="2824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CI-pending. A deterministic fixture is labelled when an external host/hardware callback is simulated.</w:t>
            </w:r>
          </w:p>
        </w:tc>
      </w:tr>
      <w:tr>
        <w:trPr>
          <w:cantSplit/>
        </w:trPr>
        <w:tc>
          <w:tcPr>
            <w:tcW w:type="dxa" w:w="2822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T4</w:t>
            </w:r>
          </w:p>
        </w:tc>
        <w:tc>
          <w:tcPr>
            <w:tcW w:type="dxa" w:w="2822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Cross-browser support matrix and explicit Firefox/Web Speech limitation.</w:t>
            </w:r>
          </w:p>
        </w:tc>
        <w:tc>
          <w:tcPr>
            <w:tcW w:type="dxa" w:w="2822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Style w:val="VerbatimChar"/>
                <w:rFonts w:ascii="Calibri" w:hAnsi="Calibri"/>
                <w:sz w:val="15"/>
              </w:rPr>
              <w:t xml:space="preserve">source/tests/e2e-support/cross-browser-support.spec.ts</w:t>
            </w:r>
            <w:r>
              <w:rPr>
                <w:rFonts w:ascii="Calibri" w:hAnsi="Calibri"/>
                <w:sz w:val="15"/>
              </w:rPr>
              <w:t xml:space="preserve"> </w:t>
            </w:r>
            <w:r>
              <w:rPr>
                <w:rFonts w:ascii="Calibri" w:hAnsi="Calibri"/>
                <w:sz w:val="15"/>
              </w:rPr>
              <w:t xml:space="preserve">and</w:t>
            </w:r>
            <w:r>
              <w:rPr>
                <w:rFonts w:ascii="Calibri" w:hAnsi="Calibri"/>
                <w:sz w:val="15"/>
              </w:rPr>
              <w:t xml:space="preserve"> </w:t>
            </w:r>
            <w:r>
              <w:rPr>
                <w:rStyle w:val="VerbatimChar"/>
                <w:rFonts w:ascii="Calibri" w:hAnsi="Calibri"/>
                <w:sz w:val="15"/>
              </w:rPr>
              <w:t xml:space="preserve">docs/CROSS-BROWSER-SUPPORT-MATRIX.md</w:t>
            </w:r>
            <w:r>
              <w:rPr>
                <w:rFonts w:ascii="Calibri" w:hAnsi="Calibri"/>
                <w:sz w:val="15"/>
              </w:rPr>
              <w:t xml:space="preserve">.</w:t>
            </w:r>
          </w:p>
        </w:tc>
        <w:tc>
          <w:tcPr>
            <w:tcW w:type="dxa" w:w="2822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Capability test covers Chromium, Firefox and Playwright WebKit; no SpeechRecognition in Firefox/WebKit is reported.</w:t>
            </w:r>
          </w:p>
        </w:tc>
        <w:tc>
          <w:tcPr>
            <w:tcW w:type="dxa" w:w="2824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CI-pending for current candidate; WebKit/Linux is not Safari/VoiceOver evidence.</w:t>
            </w:r>
          </w:p>
        </w:tc>
      </w:tr>
      <w:tr>
        <w:trPr>
          <w:cantSplit/>
        </w:trPr>
        <w:tc>
          <w:tcPr>
            <w:tcW w:type="dxa" w:w="2822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T5</w:t>
            </w:r>
          </w:p>
        </w:tc>
        <w:tc>
          <w:tcPr>
            <w:tcW w:type="dxa" w:w="2822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Reconstruct definition, response set and score from export alone.</w:t>
            </w:r>
          </w:p>
        </w:tc>
        <w:tc>
          <w:tcPr>
            <w:tcW w:type="dxa" w:w="2822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Technical evaluation reconstruction rows and self-contained result definition.</w:t>
            </w:r>
          </w:p>
        </w:tc>
        <w:tc>
          <w:tcPr>
            <w:tcW w:type="dxa" w:w="2822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8/8 exports and 31/31 responses reconstructed, 0 mismatches.</w:t>
            </w:r>
          </w:p>
        </w:tc>
        <w:tc>
          <w:tcPr>
            <w:tcW w:type="dxa" w:w="2824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Local-pass; CI/final release reproduction pending.</w:t>
            </w:r>
          </w:p>
        </w:tc>
      </w:tr>
      <w:tr>
        <w:trPr>
          <w:cantSplit/>
        </w:trPr>
        <w:tc>
          <w:tcPr>
            <w:tcW w:type="dxa" w:w="2822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T6</w:t>
            </w:r>
          </w:p>
        </w:tc>
        <w:tc>
          <w:tcPr>
            <w:tcW w:type="dxa" w:w="2822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Quantify definition-driven reuse rather than assume it.</w:t>
            </w:r>
          </w:p>
        </w:tc>
        <w:tc>
          <w:tcPr>
            <w:tcW w:type="dxa" w:w="2822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Technical evaluation reuse/allowlist rows.</w:t>
            </w:r>
          </w:p>
        </w:tc>
        <w:tc>
          <w:tcPr>
            <w:tcW w:type="dxa" w:w="2822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5 compatible imports admitted as data with 0 instrument-specific production files; 96/96 shared contract executions with 0 test copies; 16/16 allowlist combinations match.</w:t>
            </w:r>
          </w:p>
        </w:tc>
        <w:tc>
          <w:tcPr>
            <w:tcW w:type="dxa" w:w="2824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Local-pass. A new scorer/response structure remains an executable boundary and is not a data-only pass.</w:t>
            </w:r>
          </w:p>
        </w:tc>
      </w:tr>
    </w:tbl>
    <w:bookmarkEnd w:id="23"/>
    <w:bookmarkStart w:id="24" w:name="d-latest-feedback-section-3--matrix-v6"/>
    <w:p>
      <w:pPr>
        <w:pStyle w:val="Heading2"/>
        <w:keepNext/>
        <w:keepLines/>
      </w:pPr>
      <w:r>
        <w:rPr>
          <w:rFonts w:ascii="Calibri" w:hAnsi="Calibri"/>
        </w:rPr>
        <w:t xml:space="preserve">D. Latest feedback, section 3 — matrix v6</w:t>
      </w:r>
    </w:p>
    <w:tbl>
      <w:tblPr>
        <w:tblW w:type="dxa" w:w="14112"/>
        <w:jc w:val="left"/>
        <w:tblLayout w:type="fixed"/>
        <w:tblLook w:firstRow="1" w:lastRow="0" w:firstColumn="0" w:lastColumn="0" w:noHBand="0" w:noVBand="0" w:val="0020"/>
        <w:tblInd w:type="dxa" w:w="120"/>
      </w:tblPr>
      <w:tblGrid>
        <w:gridCol w:w="4342"/>
        <w:gridCol w:w="4776"/>
        <w:gridCol w:w="4994"/>
      </w:tblGrid>
      <w:tr>
        <w:trPr>
          <w:tblHeader w:val="true"/>
          <w:tblHeader w:val="true"/>
          <w:cantSplit/>
        </w:trPr>
        <w:tc>
          <w:tcPr>
            <w:vAlign w:val="top"/>
            <w:tcW w:type="dxa" w:w="4342"/>
            <w:shd w:fill="F2F4F7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b/>
                <w:sz w:val="15"/>
              </w:rPr>
              <w:t xml:space="preserve">Requirement</w:t>
            </w:r>
          </w:p>
        </w:tc>
        <w:tc>
          <w:tcPr>
            <w:vAlign w:val="top"/>
            <w:tcW w:type="dxa" w:w="4776"/>
            <w:shd w:fill="F2F4F7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b/>
                <w:sz w:val="15"/>
              </w:rPr>
              <w:t xml:space="preserve">Resolution</w:t>
            </w:r>
          </w:p>
        </w:tc>
        <w:tc>
          <w:tcPr>
            <w:vAlign w:val="top"/>
            <w:tcW w:type="dxa" w:w="4994"/>
            <w:shd w:fill="F2F4F7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b/>
                <w:sz w:val="15"/>
              </w:rPr>
              <w:t xml:space="preserve">Current status</w:t>
            </w:r>
          </w:p>
        </w:tc>
      </w:tr>
      <w:tr>
        <w:trPr>
          <w:cantSplit/>
        </w:trPr>
        <w:tc>
          <w:tcPr>
            <w:tcW w:type="dxa" w:w="4342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Remove C6 rather than leave it unevidenced.</w:t>
            </w:r>
          </w:p>
        </w:tc>
        <w:tc>
          <w:tcPr>
            <w:tcW w:type="dxa" w:w="4776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C6 is in a Removed row, not an active claim.</w:t>
            </w:r>
          </w:p>
        </w:tc>
        <w:tc>
          <w:tcPr>
            <w:tcW w:type="dxa" w:w="4994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Complete.</w:t>
            </w:r>
          </w:p>
        </w:tc>
      </w:tr>
      <w:tr>
        <w:trPr>
          <w:cantSplit/>
        </w:trPr>
        <w:tc>
          <w:tcPr>
            <w:tcW w:type="dxa" w:w="4342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Give C2 a decision rule for the new audit design.</w:t>
            </w:r>
          </w:p>
        </w:tc>
        <w:tc>
          <w:tcPr>
            <w:tcW w:type="dxa" w:w="4776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C2 requires 135 browser rows plus complete manual P/F/NA observations and no S3 failure on a supported route.</w:t>
            </w:r>
          </w:p>
        </w:tc>
        <w:tc>
          <w:tcPr>
            <w:tcW w:type="dxa" w:w="4994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Rule complete; evidence Not evidenced.</w:t>
            </w:r>
          </w:p>
        </w:tc>
      </w:tr>
      <w:tr>
        <w:trPr>
          <w:cantSplit/>
        </w:trPr>
        <w:tc>
          <w:tcPr>
            <w:tcW w:type="dxa" w:w="4342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Give C5 a decision rule for the optional observed researcher study.</w:t>
            </w:r>
          </w:p>
        </w:tc>
        <w:tc>
          <w:tcPr>
            <w:tcW w:type="dxa" w:w="4776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C5 freezes success, time, assist/error, discrepancy, SEQ/SUS and second-coder evidence and prohibits significance tests.</w:t>
            </w:r>
          </w:p>
        </w:tc>
        <w:tc>
          <w:tcPr>
            <w:tcW w:type="dxa" w:w="4994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Rule complete; study Not evidenced.</w:t>
            </w:r>
          </w:p>
        </w:tc>
      </w:tr>
      <w:tr>
        <w:trPr>
          <w:cantSplit/>
        </w:trPr>
        <w:tc>
          <w:tcPr>
            <w:tcW w:type="dxa" w:w="4342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Make C7's definition hash checkable.</w:t>
            </w:r>
          </w:p>
        </w:tc>
        <w:tc>
          <w:tcPr>
            <w:tcW w:type="dxa" w:w="4776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C7 requires canonical hash agreement, rejection of missing/stale Version 4 hashes and export-only reconstruction.</w:t>
            </w:r>
          </w:p>
        </w:tc>
        <w:tc>
          <w:tcPr>
            <w:tcW w:type="dxa" w:w="4994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Local-pass; release verification pending.</w:t>
            </w:r>
          </w:p>
        </w:tc>
      </w:tr>
      <w:tr>
        <w:trPr>
          <w:cantSplit/>
        </w:trPr>
        <w:tc>
          <w:tcPr>
            <w:tcW w:type="dxa" w:w="4342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Fill every evidence status, including Not evidenced.</w:t>
            </w:r>
          </w:p>
        </w:tc>
        <w:tc>
          <w:tcPr>
            <w:tcW w:type="dxa" w:w="4776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Style w:val="VerbatimChar"/>
                <w:rFonts w:ascii="Calibri" w:hAnsi="Calibri"/>
                <w:sz w:val="15"/>
              </w:rPr>
              <w:t xml:space="preserve">docs/AQP-EVALUATION-MATRIX-v6.md</w:t>
            </w:r>
            <w:r>
              <w:rPr>
                <w:rFonts w:ascii="Calibri" w:hAnsi="Calibri"/>
                <w:sz w:val="15"/>
              </w:rPr>
              <w:t xml:space="preserve"> </w:t>
            </w:r>
            <w:r>
              <w:rPr>
                <w:rFonts w:ascii="Calibri" w:hAnsi="Calibri"/>
                <w:sz w:val="15"/>
              </w:rPr>
              <w:t xml:space="preserve">v6.2 has a status for every active row.</w:t>
            </w:r>
          </w:p>
        </w:tc>
        <w:tc>
          <w:tcPr>
            <w:tcW w:type="dxa" w:w="4994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Complete for the candidate state; update only after new evidence.</w:t>
            </w:r>
          </w:p>
        </w:tc>
      </w:tr>
    </w:tbl>
    <w:bookmarkEnd w:id="24"/>
    <w:bookmarkStart w:id="25" w:name="Xf1191037a1d04ca3ee7fc482a87a5190dad0f4c"/>
    <w:p>
      <w:pPr>
        <w:pStyle w:val="Heading2"/>
        <w:keepNext/>
        <w:keepLines/>
      </w:pPr>
      <w:r>
        <w:rPr>
          <w:rFonts w:ascii="Calibri" w:hAnsi="Calibri"/>
        </w:rPr>
        <w:t xml:space="preserve">E. Latest feedback, section 4 — optional observed researcher protocol</w:t>
      </w:r>
    </w:p>
    <w:tbl>
      <w:tblPr>
        <w:tblW w:type="dxa" w:w="14112"/>
        <w:jc w:val="left"/>
        <w:tblLayout w:type="fixed"/>
        <w:tblLook w:firstRow="1" w:lastRow="0" w:firstColumn="0" w:lastColumn="0" w:noHBand="0" w:noVBand="0" w:val="0020"/>
        <w:tblInd w:type="dxa" w:w="120"/>
      </w:tblPr>
      <w:tblGrid>
        <w:gridCol w:w="4342"/>
        <w:gridCol w:w="4776"/>
        <w:gridCol w:w="4994"/>
      </w:tblGrid>
      <w:tr>
        <w:trPr>
          <w:tblHeader w:val="true"/>
          <w:tblHeader w:val="true"/>
          <w:cantSplit/>
        </w:trPr>
        <w:tc>
          <w:tcPr>
            <w:vAlign w:val="top"/>
            <w:tcW w:type="dxa" w:w="4342"/>
            <w:shd w:fill="F2F4F7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b/>
                <w:sz w:val="15"/>
              </w:rPr>
              <w:t xml:space="preserve">Requirement</w:t>
            </w:r>
          </w:p>
        </w:tc>
        <w:tc>
          <w:tcPr>
            <w:vAlign w:val="top"/>
            <w:tcW w:type="dxa" w:w="4776"/>
            <w:shd w:fill="F2F4F7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b/>
                <w:sz w:val="15"/>
              </w:rPr>
              <w:t xml:space="preserve">Frozen resolution</w:t>
            </w:r>
          </w:p>
        </w:tc>
        <w:tc>
          <w:tcPr>
            <w:vAlign w:val="top"/>
            <w:tcW w:type="dxa" w:w="4994"/>
            <w:shd w:fill="F2F4F7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b/>
                <w:sz w:val="15"/>
              </w:rPr>
              <w:t xml:space="preserve">Current status</w:t>
            </w:r>
          </w:p>
        </w:tc>
      </w:tr>
      <w:tr>
        <w:trPr>
          <w:cantSplit/>
        </w:trPr>
        <w:tc>
          <w:tcPr>
            <w:tcW w:type="dxa" w:w="4342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Define Qualtrics start/end state.</w:t>
            </w:r>
          </w:p>
        </w:tc>
        <w:tc>
          <w:tcPr>
            <w:tcW w:type="dxa" w:w="4776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A frozen UCL Qualtrics template already contains the ten SUS items, values, required setting, one-question-per-page structure and checked Brooke scoring; participants do not type from scratch. Required end state is identical and independently checked.</w:t>
            </w:r>
          </w:p>
        </w:tc>
        <w:tc>
          <w:tcPr>
            <w:tcW w:type="dxa" w:w="4994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Protocol-ready; template/version/account and final URL must be frozen before preregistration.</w:t>
            </w:r>
          </w:p>
        </w:tc>
      </w:tr>
      <w:tr>
        <w:trPr>
          <w:cantSplit/>
        </w:trPr>
        <w:tc>
          <w:tcPr>
            <w:tcW w:type="dxa" w:w="4342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Counterbalance order.</w:t>
            </w:r>
          </w:p>
        </w:tc>
        <w:tc>
          <w:tcPr>
            <w:tcW w:type="dxa" w:w="4776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Within-participant AQ/QA allocation, balanced before recruitment and recorded before each session.</w:t>
            </w:r>
          </w:p>
        </w:tc>
        <w:tc>
          <w:tcPr>
            <w:tcW w:type="dxa" w:w="4994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Protocol-ready.</w:t>
            </w:r>
          </w:p>
        </w:tc>
      </w:tr>
      <w:tr>
        <w:trPr>
          <w:cantSplit/>
        </w:trPr>
        <w:tc>
          <w:tcPr>
            <w:tcW w:type="dxa" w:w="4342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Six to eight participants; descriptive/per-participant reporting; no significance tests.</w:t>
            </w:r>
          </w:p>
        </w:tc>
        <w:tc>
          <w:tcPr>
            <w:tcW w:type="dxa" w:w="4776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Per-participant rows plus n, median, minimum and maximum; no inferential test or general population claim.</w:t>
            </w:r>
          </w:p>
        </w:tc>
        <w:tc>
          <w:tcPr>
            <w:tcW w:type="dxa" w:w="4994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Protocol-ready.</w:t>
            </w:r>
          </w:p>
        </w:tc>
      </w:tr>
      <w:tr>
        <w:trPr>
          <w:cantSplit/>
        </w:trPr>
        <w:tc>
          <w:tcPr>
            <w:tcW w:type="dxa" w:w="4342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Define success, assist and error.</w:t>
            </w:r>
          </w:p>
        </w:tc>
        <w:tc>
          <w:tcPr>
            <w:tcW w:type="dxa" w:w="4776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Operational definitions, 20-minute limit, end-state checklist, self-correction and critical-error rules are frozen in protocol v1.1.</w:t>
            </w:r>
          </w:p>
        </w:tc>
        <w:tc>
          <w:tcPr>
            <w:tcW w:type="dxa" w:w="4994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Protocol-ready.</w:t>
            </w:r>
          </w:p>
        </w:tc>
      </w:tr>
      <w:tr>
        <w:trPr>
          <w:cantSplit/>
        </w:trPr>
        <w:tc>
          <w:tcPr>
            <w:tcW w:type="dxa" w:w="4342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Fixed script, recording and independent coding.</w:t>
            </w:r>
          </w:p>
        </w:tc>
        <w:tc>
          <w:tcPr>
            <w:tcW w:type="dxa" w:w="4776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Fixed observer script; screen/shared-window and session audio recorded with consent; second coder independently codes at least two sessions before consensus.</w:t>
            </w:r>
          </w:p>
        </w:tc>
        <w:tc>
          <w:tcPr>
            <w:tcW w:type="dxa" w:w="4994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Protocol-ready; ethics/storage/coder activation fields blocked.</w:t>
            </w:r>
          </w:p>
        </w:tc>
      </w:tr>
      <w:tr>
        <w:trPr>
          <w:cantSplit/>
        </w:trPr>
        <w:tc>
          <w:tcPr>
            <w:tcW w:type="dxa" w:w="4342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Mild deception and debrief.</w:t>
            </w:r>
          </w:p>
        </w:tc>
        <w:tc>
          <w:tcPr>
            <w:tcW w:type="dxa" w:w="4776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General advance disclosure, sealed private source/altered definition, immediate exact debrief and seven-day withdrawal route. Exact discrepancy is not in the public repository.</w:t>
            </w:r>
          </w:p>
        </w:tc>
        <w:tc>
          <w:tcPr>
            <w:tcW w:type="dxa" w:w="4994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Protocol-ready; amendment approval required.</w:t>
            </w:r>
          </w:p>
        </w:tc>
      </w:tr>
    </w:tbl>
    <w:bookmarkEnd w:id="25"/>
    <w:bookmarkStart w:id="26" w:name="Xde82fd99f856364bd118507d710bd0671cab5e1"/>
    <w:p>
      <w:pPr>
        <w:pStyle w:val="Heading2"/>
        <w:keepNext/>
        <w:keepLines/>
      </w:pPr>
      <w:r>
        <w:rPr>
          <w:rFonts w:ascii="Calibri" w:hAnsi="Calibri"/>
        </w:rPr>
        <w:t xml:space="preserve">F. Latest feedback, section 5 — ethics and dissertation boundary</w:t>
      </w:r>
    </w:p>
    <w:tbl>
      <w:tblPr>
        <w:tblW w:type="dxa" w:w="14112"/>
        <w:jc w:val="left"/>
        <w:tblLayout w:type="fixed"/>
        <w:tblLook w:firstRow="1" w:lastRow="0" w:firstColumn="0" w:lastColumn="0" w:noHBand="0" w:noVBand="0" w:val="0020"/>
        <w:tblInd w:type="dxa" w:w="120"/>
      </w:tblPr>
      <w:tblGrid>
        <w:gridCol w:w="4342"/>
        <w:gridCol w:w="4776"/>
        <w:gridCol w:w="4994"/>
      </w:tblGrid>
      <w:tr>
        <w:trPr>
          <w:tblHeader w:val="true"/>
          <w:tblHeader w:val="true"/>
          <w:cantSplit/>
        </w:trPr>
        <w:tc>
          <w:tcPr>
            <w:vAlign w:val="top"/>
            <w:tcW w:type="dxa" w:w="4342"/>
            <w:shd w:fill="F2F4F7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b/>
                <w:sz w:val="15"/>
              </w:rPr>
              <w:t xml:space="preserve">Requirement</w:t>
            </w:r>
          </w:p>
        </w:tc>
        <w:tc>
          <w:tcPr>
            <w:vAlign w:val="top"/>
            <w:tcW w:type="dxa" w:w="4776"/>
            <w:shd w:fill="F2F4F7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b/>
                <w:sz w:val="15"/>
              </w:rPr>
              <w:t xml:space="preserve">Resolution</w:t>
            </w:r>
          </w:p>
        </w:tc>
        <w:tc>
          <w:tcPr>
            <w:vAlign w:val="top"/>
            <w:tcW w:type="dxa" w:w="4994"/>
            <w:shd w:fill="F2F4F7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b/>
                <w:sz w:val="15"/>
              </w:rPr>
              <w:t xml:space="preserve">Current status</w:t>
            </w:r>
          </w:p>
        </w:tc>
      </w:tr>
      <w:tr>
        <w:trPr>
          <w:cantSplit/>
        </w:trPr>
        <w:tc>
          <w:tcPr>
            <w:tcW w:type="dxa" w:w="4342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Dissertation must stand without sessions.</w:t>
            </w:r>
          </w:p>
        </w:tc>
        <w:tc>
          <w:tcPr>
            <w:tcW w:type="dxa" w:w="4776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Technical evaluation T1–T6 plus manual technical audit form the core; optional observed sessions cannot delay the draft.</w:t>
            </w:r>
          </w:p>
        </w:tc>
        <w:tc>
          <w:tcPr>
            <w:tcW w:type="dxa" w:w="4994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Architecture complete; manual audit still NT and CI pending.</w:t>
            </w:r>
          </w:p>
        </w:tc>
      </w:tr>
      <w:tr>
        <w:trPr>
          <w:cantSplit/>
        </w:trPr>
        <w:tc>
          <w:tcPr>
            <w:tcW w:type="dxa" w:w="4342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Submit amendment by 11 August; if not approved by 18 August, omit sessions from 21 August draft.</w:t>
            </w:r>
          </w:p>
        </w:tc>
        <w:tc>
          <w:tcPr>
            <w:tcW w:type="dxa" w:w="4776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Private template-based amendment pack and activation checklist prepared outside the public repository.</w:t>
            </w:r>
          </w:p>
        </w:tc>
        <w:tc>
          <w:tcPr>
            <w:tcW w:type="dxa" w:w="4994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Draft pack ready; exact approval identity, route, storage, coder, retention alignment and signatures are blocked.</w:t>
            </w:r>
          </w:p>
        </w:tc>
      </w:tr>
      <w:tr>
        <w:trPr>
          <w:cantSplit/>
        </w:trPr>
        <w:tc>
          <w:tcPr>
            <w:tcW w:type="dxa" w:w="4342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Record screens and disclose possible identifying capture, storage, retention and destruction.</w:t>
            </w:r>
          </w:p>
        </w:tc>
        <w:tc>
          <w:tcPr>
            <w:tcW w:type="dxa" w:w="4776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PIS, consent, risk assessment and amendment narrative describe shared-window/session-audio recording, incidental identifiers, 24-hour RDSS transfer, deletion of working copies and proposed raw-recording destruction date.</w:t>
            </w:r>
          </w:p>
        </w:tc>
        <w:tc>
          <w:tcPr>
            <w:tcW w:type="dxa" w:w="4994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Drafted; PI must confirm exact RDSS path and alignment with existing approval before submission.</w:t>
            </w:r>
          </w:p>
        </w:tc>
      </w:tr>
    </w:tbl>
    <w:p>
      <w:pPr>
        <w:pStyle w:val="BodyText"/>
      </w:pPr>
      <w:r>
        <w:rPr>
          <w:rFonts w:ascii="Calibri" w:hAnsi="Calibri"/>
        </w:rPr>
        <w:t xml:space="preserve">The uploaded</w:t>
      </w:r>
      <w:r>
        <w:rPr>
          <w:rFonts w:ascii="Calibri" w:hAnsi="Calibri"/>
        </w:rPr>
        <w:t xml:space="preserve"> </w:t>
      </w:r>
      <w:r>
        <w:rPr>
          <w:rStyle w:val="VerbatimChar"/>
          <w:rFonts w:ascii="Calibri" w:hAnsi="Calibri"/>
        </w:rPr>
        <w:t xml:space="preserve">Project ID 1165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and Tianzhe Dong project title belong to a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different study and are explicitly excluded. The AQP approval ID and exact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approved title were not present in the supplied files; they must be copied from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the original AQP approval record or provided by the applicant/PI.</w:t>
      </w:r>
    </w:p>
    <w:bookmarkEnd w:id="26"/>
    <w:bookmarkStart w:id="27" w:name="Xdd8442abbb3056246208e702e0787967df1a980"/>
    <w:p>
      <w:pPr>
        <w:pStyle w:val="Heading2"/>
        <w:keepNext/>
        <w:keepLines/>
      </w:pPr>
      <w:r>
        <w:rPr>
          <w:rFonts w:ascii="Calibri" w:hAnsi="Calibri"/>
        </w:rPr>
        <w:t xml:space="preserve">G. Latest feedback, section 6 — repeated endpoint label</w:t>
      </w:r>
    </w:p>
    <w:tbl>
      <w:tblPr>
        <w:tblW w:type="dxa" w:w="14112"/>
        <w:jc w:val="left"/>
        <w:tblLayout w:type="fixed"/>
        <w:tblLook w:firstRow="1" w:lastRow="0" w:firstColumn="0" w:lastColumn="0" w:noHBand="0" w:noVBand="0" w:val="0020"/>
        <w:tblInd w:type="dxa" w:w="120"/>
      </w:tblPr>
      <w:tblGrid>
        <w:gridCol w:w="2605"/>
        <w:gridCol w:w="3908"/>
        <w:gridCol w:w="3908"/>
        <w:gridCol w:w="3691"/>
      </w:tblGrid>
      <w:tr>
        <w:trPr>
          <w:tblHeader w:val="true"/>
          <w:tblHeader w:val="true"/>
          <w:cantSplit/>
        </w:trPr>
        <w:tc>
          <w:tcPr>
            <w:vAlign w:val="top"/>
            <w:tcW w:type="dxa" w:w="2605"/>
            <w:shd w:fill="F2F4F7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b/>
                <w:sz w:val="15"/>
              </w:rPr>
              <w:t xml:space="preserve">Requirement</w:t>
            </w:r>
          </w:p>
        </w:tc>
        <w:tc>
          <w:tcPr>
            <w:vAlign w:val="top"/>
            <w:tcW w:type="dxa" w:w="3908"/>
            <w:shd w:fill="F2F4F7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b/>
                <w:sz w:val="15"/>
              </w:rPr>
              <w:t xml:space="preserve">Implementation/test</w:t>
            </w:r>
          </w:p>
        </w:tc>
        <w:tc>
          <w:tcPr>
            <w:vAlign w:val="top"/>
            <w:tcW w:type="dxa" w:w="3908"/>
            <w:shd w:fill="F2F4F7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b/>
                <w:sz w:val="15"/>
              </w:rPr>
              <w:t xml:space="preserve">Current status</w:t>
            </w:r>
          </w:p>
        </w:tc>
        <w:tc>
          <w:tcPr>
            <w:vAlign w:val="top"/>
            <w:tcW w:type="dxa" w:w="3691"/>
            <w:shd w:fill="F2F4F7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b/>
                <w:sz w:val="15"/>
              </w:rPr>
              <w:t xml:space="preserve">Final gate</w:t>
            </w:r>
          </w:p>
        </w:tc>
      </w:tr>
      <w:tr>
        <w:trPr>
          <w:cantSplit/>
        </w:trPr>
        <w:tc>
          <w:tcPr>
            <w:tcW w:type="dxa" w:w="2605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Keep the legend as the announced endpoint source; keep anchor row aria-hidden; suppress only an option label identical to its endpoint; retain distinct middle German labels.</w:t>
            </w:r>
          </w:p>
        </w:tc>
        <w:tc>
          <w:tcPr>
            <w:tcW w:type="dxa" w:w="3908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Style w:val="VerbatimChar"/>
                <w:rFonts w:ascii="Calibri" w:hAnsi="Calibri"/>
                <w:sz w:val="15"/>
              </w:rPr>
              <w:t xml:space="preserve">visibleResponseLabel</w:t>
            </w:r>
            <w:r>
              <w:rPr>
                <w:rFonts w:ascii="Calibri" w:hAnsi="Calibri"/>
                <w:sz w:val="15"/>
              </w:rPr>
              <w:t xml:space="preserve"> </w:t>
            </w:r>
            <w:r>
              <w:rPr>
                <w:rFonts w:ascii="Calibri" w:hAnsi="Calibri"/>
                <w:sz w:val="15"/>
              </w:rPr>
              <w:t xml:space="preserve">in</w:t>
            </w:r>
            <w:r>
              <w:rPr>
                <w:rFonts w:ascii="Calibri" w:hAnsi="Calibri"/>
                <w:sz w:val="15"/>
              </w:rPr>
              <w:t xml:space="preserve"> </w:t>
            </w:r>
            <w:r>
              <w:rPr>
                <w:rStyle w:val="VerbatimChar"/>
                <w:rFonts w:ascii="Calibri" w:hAnsi="Calibri"/>
                <w:sz w:val="15"/>
              </w:rPr>
              <w:t xml:space="preserve">accessible-nasa-tlx.ts</w:t>
            </w:r>
            <w:r>
              <w:rPr>
                <w:rFonts w:ascii="Calibri" w:hAnsi="Calibri"/>
                <w:sz w:val="15"/>
              </w:rPr>
              <w:t xml:space="preserve">; component regression and S27 real-browser case.</w:t>
            </w:r>
          </w:p>
        </w:tc>
        <w:tc>
          <w:tcPr>
            <w:tcW w:type="dxa" w:w="3908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Local-pass.</w:t>
            </w:r>
          </w:p>
        </w:tc>
        <w:tc>
          <w:tcPr>
            <w:tcW w:type="dxa" w:w="3691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Current-candidate CI and deployed visual/accessibility-tree inspection.</w:t>
            </w:r>
          </w:p>
        </w:tc>
      </w:tr>
    </w:tbl>
    <w:bookmarkEnd w:id="27"/>
    <w:bookmarkStart w:id="28" w:name="reproduction-commands"/>
    <w:p>
      <w:pPr>
        <w:pStyle w:val="Heading2"/>
        <w:keepNext/>
        <w:keepLines/>
      </w:pPr>
      <w:r>
        <w:rPr>
          <w:rFonts w:ascii="Calibri" w:hAnsi="Calibri"/>
        </w:rPr>
        <w:t xml:space="preserve">Reproduction commands</w:t>
      </w:r>
    </w:p>
    <w:p>
      <w:pPr>
        <w:pStyle w:val="FirstParagraph"/>
      </w:pPr>
      <w:r>
        <w:rPr>
          <w:rFonts w:ascii="Calibri" w:hAnsi="Calibri"/>
        </w:rPr>
        <w:t xml:space="preserve">From</w:t>
      </w:r>
      <w:r>
        <w:rPr>
          <w:rFonts w:ascii="Calibri" w:hAnsi="Calibri"/>
        </w:rPr>
        <w:t xml:space="preserve"> </w:t>
      </w:r>
      <w:r>
        <w:rPr>
          <w:rStyle w:val="VerbatimChar"/>
          <w:rFonts w:ascii="Calibri" w:hAnsi="Calibri"/>
        </w:rPr>
        <w:t xml:space="preserve">source/</w:t>
      </w:r>
      <w:r>
        <w:rPr>
          <w:rFonts w:ascii="Calibri" w:hAnsi="Calibri"/>
        </w:rPr>
        <w:t xml:space="preserve">:</w:t>
      </w:r>
    </w:p>
    <w:p>
      <w:pPr>
        <w:pStyle w:val="SourceCode"/>
      </w:pPr>
      <w:r>
        <w:rPr>
          <w:rStyle w:val="VerbatimChar"/>
          <w:rFonts w:ascii="Calibri" w:hAnsi="Calibri"/>
        </w:rPr>
        <w:t xml:space="preserve">npm ci</w:t>
      </w:r>
      <w:r>
        <w:rPr>
          <w:rFonts w:ascii="Calibri" w:hAnsi="Calibri"/>
        </w:rPr>
        <w:br/>
      </w:r>
      <w:r>
        <w:rPr>
          <w:rStyle w:val="VerbatimChar"/>
          <w:rFonts w:ascii="Calibri" w:hAnsi="Calibri"/>
        </w:rPr>
        <w:t xml:space="preserve">npm test -- --run</w:t>
      </w:r>
      <w:r>
        <w:rPr>
          <w:rFonts w:ascii="Calibri" w:hAnsi="Calibri"/>
        </w:rPr>
        <w:br/>
      </w:r>
      <w:r>
        <w:rPr>
          <w:rStyle w:val="VerbatimChar"/>
          <w:rFonts w:ascii="Calibri" w:hAnsi="Calibri"/>
        </w:rPr>
        <w:t xml:space="preserve">npm run report:technical</w:t>
      </w:r>
      <w:r>
        <w:rPr>
          <w:rFonts w:ascii="Calibri" w:hAnsi="Calibri"/>
        </w:rPr>
        <w:br/>
      </w:r>
      <w:r>
        <w:rPr>
          <w:rStyle w:val="VerbatimChar"/>
          <w:rFonts w:ascii="Calibri" w:hAnsi="Calibri"/>
        </w:rPr>
        <w:t xml:space="preserve">npm run build</w:t>
      </w:r>
      <w:r>
        <w:rPr>
          <w:rFonts w:ascii="Calibri" w:hAnsi="Calibri"/>
        </w:rPr>
        <w:br/>
      </w:r>
      <w:r>
        <w:rPr>
          <w:rStyle w:val="VerbatimChar"/>
          <w:rFonts w:ascii="Calibri" w:hAnsi="Calibri"/>
        </w:rPr>
        <w:t xml:space="preserve">npm run test:browser</w:t>
      </w:r>
      <w:r>
        <w:rPr>
          <w:rFonts w:ascii="Calibri" w:hAnsi="Calibri"/>
        </w:rPr>
        <w:br/>
      </w:r>
      <w:r>
        <w:rPr>
          <w:rStyle w:val="VerbatimChar"/>
          <w:rFonts w:ascii="Calibri" w:hAnsi="Calibri"/>
        </w:rPr>
        <w:t xml:space="preserve">npm run test:browser-support</w:t>
      </w:r>
      <w:r>
        <w:rPr>
          <w:rFonts w:ascii="Calibri" w:hAnsi="Calibri"/>
        </w:rPr>
        <w:br/>
      </w:r>
      <w:r>
        <w:rPr>
          <w:rStyle w:val="VerbatimChar"/>
          <w:rFonts w:ascii="Calibri" w:hAnsi="Calibri"/>
        </w:rPr>
        <w:t xml:space="preserve">npm run report:browser</w:t>
      </w:r>
      <w:r>
        <w:rPr>
          <w:rFonts w:ascii="Calibri" w:hAnsi="Calibri"/>
        </w:rPr>
        <w:br/>
      </w:r>
      <w:r>
        <w:rPr>
          <w:rStyle w:val="VerbatimChar"/>
          <w:rFonts w:ascii="Calibri" w:hAnsi="Calibri"/>
        </w:rPr>
        <w:t xml:space="preserve">npm run report:browser-support</w:t>
      </w:r>
      <w:r>
        <w:rPr>
          <w:rFonts w:ascii="Calibri" w:hAnsi="Calibri"/>
        </w:rPr>
        <w:br/>
      </w:r>
      <w:r>
        <w:rPr>
          <w:rStyle w:val="VerbatimChar"/>
          <w:rFonts w:ascii="Calibri" w:hAnsi="Calibri"/>
        </w:rPr>
        <w:t xml:space="preserve">npm run build:release</w:t>
      </w:r>
    </w:p>
    <w:p>
      <w:pPr>
        <w:pStyle w:val="FirstParagraph"/>
      </w:pPr>
      <w:r>
        <w:rPr>
          <w:rFonts w:ascii="Calibri" w:hAnsi="Calibri"/>
        </w:rPr>
        <w:t xml:space="preserve">Current non-browser local result: 20/20 files and 199/199 tests passed; 8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fidelity cases, 31 items and 234 comparisons with 0 mismatch; 12 adversarial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inputs with 0 silent alteration; 8/8 exports and 31/31 responses reconstructed;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5 data-only compatible imports, 96/96 shared contract executions and 16/16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allowlist checks.</w:t>
      </w:r>
    </w:p>
    <w:bookmarkEnd w:id="28"/>
    <w:bookmarkStart w:id="29" w:name="release-complete-checklist"/>
    <w:p>
      <w:pPr>
        <w:pStyle w:val="Heading2"/>
        <w:keepNext/>
        <w:keepLines/>
      </w:pPr>
      <w:r>
        <w:rPr>
          <w:rFonts w:ascii="Calibri" w:hAnsi="Calibri"/>
        </w:rPr>
        <w:t xml:space="preserve">Release-complete checklist</w:t>
      </w:r>
    </w:p>
    <w:p>
      <w:pPr>
        <w:numPr>
          <w:ilvl w:val="0"/>
          <w:numId w:val="1002"/>
        </w:numPr>
        <w:pStyle w:val="Compact"/>
        <w:spacing w:after="160" w:line="280" w:lineRule="auto"/>
        <w:ind w:left="720" w:hanging="360"/>
      </w:pPr>
      <w:r>
        <w:rPr>
          <w:rFonts w:ascii="Calibri" w:hAnsi="Calibri"/>
        </w:rPr>
        <w:t xml:space="preserve">☐ Push the candidate to Draft PR #68.</w:t>
      </w:r>
    </w:p>
    <w:p>
      <w:pPr>
        <w:numPr>
          <w:ilvl w:val="0"/>
          <w:numId w:val="1002"/>
        </w:numPr>
        <w:pStyle w:val="Compact"/>
        <w:spacing w:after="160" w:line="280" w:lineRule="auto"/>
        <w:ind w:left="720" w:hanging="360"/>
      </w:pPr>
      <w:r>
        <w:rPr>
          <w:rFonts w:ascii="Calibri" w:hAnsi="Calibri"/>
        </w:rPr>
        <w:t xml:space="preserve">☐ Obtain current-candidate CI with 135/135 rendered state/profile rows.</w:t>
      </w:r>
    </w:p>
    <w:p>
      <w:pPr>
        <w:numPr>
          <w:ilvl w:val="0"/>
          <w:numId w:val="1002"/>
        </w:numPr>
        <w:pStyle w:val="Compact"/>
        <w:spacing w:after="160" w:line="280" w:lineRule="auto"/>
        <w:ind w:left="720" w:hanging="360"/>
      </w:pPr>
      <w:r>
        <w:rPr>
          <w:rFonts w:ascii="Calibri" w:hAnsi="Calibri"/>
        </w:rPr>
        <w:t xml:space="preserve">☐ Retain quantified technical, rendered accessibility and cross-browser artefacts tied to the commit SHA.</w:t>
      </w:r>
    </w:p>
    <w:p>
      <w:pPr>
        <w:numPr>
          <w:ilvl w:val="0"/>
          <w:numId w:val="1002"/>
        </w:numPr>
        <w:pStyle w:val="Compact"/>
        <w:spacing w:after="160" w:line="280" w:lineRule="auto"/>
        <w:ind w:left="720" w:hanging="360"/>
      </w:pPr>
      <w:r>
        <w:rPr>
          <w:rFonts w:ascii="Calibri" w:hAnsi="Calibri"/>
        </w:rPr>
        <w:t xml:space="preserve">☐ Obtain review/merge authority and deploy that verified commit to Pages.</w:t>
      </w:r>
    </w:p>
    <w:p>
      <w:pPr>
        <w:numPr>
          <w:ilvl w:val="0"/>
          <w:numId w:val="1002"/>
        </w:numPr>
        <w:pStyle w:val="Compact"/>
        <w:spacing w:after="160" w:line="280" w:lineRule="auto"/>
        <w:ind w:left="720" w:hanging="360"/>
      </w:pPr>
      <w:r>
        <w:rPr>
          <w:rFonts w:ascii="Calibri" w:hAnsi="Calibri"/>
        </w:rPr>
        <w:t xml:space="preserve">☐ Re-test F1–F4 and the German endpoint case on the deployment. F1 includes changing item 2 and cancelling before a separate Save run; verify answer, route, score, recovery record, focus and visible label command.</w:t>
      </w:r>
    </w:p>
    <w:p>
      <w:pPr>
        <w:numPr>
          <w:ilvl w:val="0"/>
          <w:numId w:val="1002"/>
        </w:numPr>
        <w:pStyle w:val="Compact"/>
        <w:spacing w:after="160" w:line="280" w:lineRule="auto"/>
        <w:ind w:left="720" w:hanging="360"/>
      </w:pPr>
      <w:r>
        <w:rPr>
          <w:rFonts w:ascii="Calibri" w:hAnsi="Calibri"/>
        </w:rPr>
        <w:t xml:space="preserve">☐ Execute A01–A33 on R1–R4 and retain exact observations.</w:t>
      </w:r>
    </w:p>
    <w:p>
      <w:pPr>
        <w:numPr>
          <w:ilvl w:val="0"/>
          <w:numId w:val="1002"/>
        </w:numPr>
        <w:pStyle w:val="Compact"/>
        <w:spacing w:after="160" w:line="280" w:lineRule="auto"/>
        <w:ind w:left="720" w:hanging="360"/>
      </w:pPr>
      <w:r>
        <w:rPr>
          <w:rFonts w:ascii="Calibri" w:hAnsi="Calibri"/>
        </w:rPr>
        <w:t xml:space="preserve">☐ Record failures honestly, fix them and re-run; do not convert NT/NA into pass.</w:t>
      </w:r>
    </w:p>
    <w:p>
      <w:pPr>
        <w:numPr>
          <w:ilvl w:val="0"/>
          <w:numId w:val="1002"/>
        </w:numPr>
        <w:pStyle w:val="Compact"/>
        <w:spacing w:after="160" w:line="280" w:lineRule="auto"/>
        <w:ind w:left="720" w:hanging="360"/>
      </w:pPr>
      <w:r>
        <w:rPr>
          <w:rFonts w:ascii="Calibri" w:hAnsi="Calibri"/>
        </w:rPr>
        <w:t xml:space="preserve">☐ Update matrix statuses only from the resulting evidence.</w:t>
      </w:r>
    </w:p>
    <w:p>
      <w:pPr>
        <w:numPr>
          <w:ilvl w:val="0"/>
          <w:numId w:val="1002"/>
        </w:numPr>
        <w:pStyle w:val="Compact"/>
        <w:spacing w:after="160" w:line="280" w:lineRule="auto"/>
        <w:ind w:left="720" w:hanging="360"/>
      </w:pPr>
      <w:r>
        <w:rPr>
          <w:rFonts w:ascii="Calibri" w:hAnsi="Calibri"/>
        </w:rPr>
        <w:t xml:space="preserve">☐ Send the deployed URL, immutable SHA, CI/artifact links, matrix v6.2 and completed audit to the supervisor.</w:t>
      </w:r>
    </w:p>
    <w:bookmarkEnd w:id="29"/>
    <w:bookmarkEnd w:id="30"/>
    <w:sectPr>
      <w:headerReference w:type="default" r:id="rId9"/>
      <w:footerReference w:type="default" r:id="rId10"/>
      <w:headerReference w:type="even" r:id="rId11"/>
      <w:footerReference w:type="even" r:id="rId12"/>
      <w:pgSz w:orient="landscape" w:w="15840" w:h="12240"/>
      <w:pgMar w:top="1008" w:bottom="1008" w:left="864" w:right="864" w:header="708" w:footer="708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left"/>
    </w:pPr>
    <w:r/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left"/>
    </w:pPr>
    <w:r/>
  </w:p>
</w:hdr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before="0" w:after="120" w:line="264" w:lineRule="auto"/>
    </w:pPr>
    <w:rPr>
      <w:rFonts w:ascii="Calibri" w:hAnsi="Calibri"/>
      <w:b w:val="0"/>
      <w:color w:val="000000"/>
      <w:sz w:val="22"/>
    </w:rPr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160" w:before="320" w:line="240" w:lineRule="auto"/>
      <w:outlineLvl w:val="0"/>
    </w:pPr>
    <w:rPr>
      <w:rFonts w:asciiTheme="majorHAnsi" w:cstheme="majorBidi" w:eastAsiaTheme="majorEastAsia" w:hAnsiTheme="majorHAnsi" w:ascii="Calibri" w:hAnsi="Calibri"/>
      <w:b/>
      <w:bCs/>
      <w:color w:val="2E74B5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120" w:before="240" w:line="240" w:lineRule="auto"/>
      <w:outlineLvl w:val="1"/>
    </w:pPr>
    <w:rPr>
      <w:rFonts w:asciiTheme="majorHAnsi" w:cstheme="majorBidi" w:eastAsiaTheme="majorEastAsia" w:hAnsiTheme="majorHAnsi" w:ascii="Calibri" w:hAnsi="Calibri"/>
      <w:b/>
      <w:bCs/>
      <w:color w:val="2E74B5"/>
      <w:sz w:val="26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80" w:before="160" w:line="240" w:lineRule="auto"/>
      <w:outlineLvl w:val="2"/>
    </w:pPr>
    <w:rPr>
      <w:rFonts w:asciiTheme="majorHAnsi" w:cstheme="majorBidi" w:eastAsiaTheme="majorEastAsia" w:hAnsiTheme="majorHAnsi" w:ascii="Calibri" w:hAnsi="Calibri"/>
      <w:b/>
      <w:bCs/>
      <w:color w:val="1F4D78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eader" Target="header2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Supervisor feedback closure matrix v2</dc:title>
  <dc:creator>Yurui Wang</dc:creator>
  <cp:keywords>AQP, evaluation, accessibility, questionnaire</cp:keywords>
  <dcterms:created xsi:type="dcterms:W3CDTF">2026-08-10T09:13:02Z</dcterms:created>
  <dcterms:modified xsi:type="dcterms:W3CDTF">2026-08-10T09:13:02Z</dcterms:modified>
  <dc:subject>Version 2.1 | 10 August 2026</dc:subject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