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qp-evaluation-matrix-v6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evaluation matrix v6</w:t>
      </w:r>
    </w:p>
    <w:p>
      <w:pPr>
        <w:pStyle w:val="FirstParagraph"/>
      </w:pPr>
      <w:r>
        <w:rPr>
          <w:rFonts w:ascii="Calibri" w:hAnsi="Calibri"/>
        </w:rPr>
        <w:t xml:space="preserve">Version: 6.0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Frozen: 2026-08-09</w:t>
      </w:r>
      <w:r>
        <w:rPr>
          <w:rFonts w:ascii="Calibri" w:hAnsi="Calibri"/>
        </w:rPr>
        <w:br/>
      </w:r>
      <w:r>
        <w:rPr>
          <w:rFonts w:ascii="Calibri" w:hAnsi="Calibri"/>
        </w:rPr>
        <w:t xml:space="preserve">Status rule: only evidence tied to the evaluated release is marked Evidenced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C1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implements bounded definition-driven reuse: supported questionnaire content is loaded through a shared runner and workflow, while response structures, scorers and optional supports remain explicit executable boundaries. It is not questionnaire-independent.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Compatible-definition isolation: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production files changed outside definition/registration for a compatible definition ÷ all changed production files.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Shared contract reuse: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common runner/recovery/result tests executed unchanged across at least two definitions ÷ frozen common contracts.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Allowlist correctness: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observed support state matching each definition declaration ÷ checked definition × support × state combinations.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Isolation is 0% outside definition/registration for a compatible definition; 100% of eligible common contracts are reused; allowlist agreement is 100%. A new scorer or response structure is reported as executable boundary extension, not a data-only platform pass.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Architecture/contract tests; allowlist tests; change manifest for a compatible fixture.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Partially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Shared mechanisms and gates are implemented and tested across current definitions, but a frozen change-manifest experiment and final per-metric counts must be published for the release. The broader “questionnaire-independent” claim is withdrawn.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C2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For the named release and configurations only, participant screens satisfy the pre-specified automated browser checks and manual technical assistive-technology checks. No benefit or usability claim for disabled users is made.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Rendered browser: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state/profile scans ÷ 60 required scans (12 states × 5 profiles), with axe violations, incomplete checks, overflow and target size reported.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Manual AT: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passed applicable route/check cells ÷ all applicable cells on NVDA/Firefox, NVDA/Chrome, VoiceOver/Safari and one OS voice-control route; report WCAG SC outcomes and exact dynamic announcements.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All 60 browser scans present; 0 automatically detected violations; 0 overflow failures; 0 critical target-size failures; incomplete axe checks listed. Manual audit has 0 NT cells, every applicable cell P/F, and no S3 failure in a technically supported route. A markup mechanism that is not usefully announced is F.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Playwright/axe JSON+HTML and trace artefact; cross-browser matrix; versioned manual AT audit.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 yet for the release.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Browser suite is implemented but has not run in this local environment; manual audit protocol is frozen but all route cells remain NT. Therefore “accessible”, “more accessible” and disabled-user benefit claims are unavailable.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C3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Within the frozen support boundary, AQP preserves item content/order, response labels/stored values, required status, scoring identifier and reported score from source to rendered response and result.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Fidelity mismatch rate: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unequal expected/observed fields ÷ all independent-oracle comparisons, reported for every built-in instrument and every QSF/LSS/LSG/LSQ fixture.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0 mismatches in every case. One missing, reordered, relabelled, revalued or differently scored field fails the release.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Hand-maintained source-of-truth JSON; programmatic production-path round trip; machine-readable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Locally evidenced;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9 cases, 39 items, 288 field comparisons, 0 mismatches. Must be reproduced for the deployed commit.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C4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AQP fails closed for the pre-specified unsupported or adversarial inputs and does not silently alter them into participant-ready questionnaires.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Negative outcome count: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number in each of refused-specific, refused-generic, accepted-documented-loss and silently-altered across 12 frozen adversarial inputs.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Silently altered = 0/12. Every accepted loss must be explicit and acknowledged; every refusal must produce no participant link/partial definition. Specific and generic refusals are reported separately.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Automated negative battery and row-level results table.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Locally evidenced;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10 specific refusals, 2 generic parse refusals, 0 accepted documented losses, 0 silently altered.</w:t>
            </w:r>
          </w:p>
        </w:tc>
      </w:tr>
    </w:tbl>
    <w:bookmarkStart w:id="20" w:name="active-claims-continue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Active claims (continued)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648"/>
        <w:gridCol w:w="2376"/>
        <w:gridCol w:w="3168"/>
        <w:gridCol w:w="3024"/>
        <w:gridCol w:w="2088"/>
        <w:gridCol w:w="2808"/>
      </w:tblGrid>
      <w:tr>
        <w:trPr>
          <w:tblHeader w:val="true"/>
          <w:tblHeader w:val="true"/>
          <w:cantSplit/>
        </w:trPr>
        <w:tc>
          <w:tcPr>
            <w:vAlign w:val="top"/>
            <w:tcW w:type="dxa" w:w="64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ID</w:t>
            </w:r>
          </w:p>
        </w:tc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Bounded claim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Metric and operational calculation</w:t>
            </w:r>
          </w:p>
        </w:tc>
        <w:tc>
          <w:tcPr>
            <w:vAlign w:val="top"/>
            <w:tcW w:type="dxa" w:w="30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Decision rule</w:t>
            </w:r>
          </w:p>
        </w:tc>
        <w:tc>
          <w:tcPr>
            <w:vAlign w:val="top"/>
            <w:tcW w:type="dxa" w:w="208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Evidence source</w:t>
            </w:r>
          </w:p>
        </w:tc>
        <w:tc>
          <w:tcPr>
            <w:vAlign w:val="top"/>
            <w:tcW w:type="dxa" w:w="280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6"/>
              </w:rPr>
              <w:t xml:space="preserve">Current evidence status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C5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The revised researcher setup can be evaluated formatively against a precisely matched Qualtrics setup condition for task success, time, assists, errors and perceived ease. This is an optional additional study, not required for the technical dissertation evaluation.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Per condition: valid task completions ÷ assigned tasks; active time; assists; predefined errors; discrepancy detection; post-task SEQ. Post-session SUS. Report each participant and median/range. Second coder independently codes at least two recordings; report event-level agreement.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A task succeeds only when the specified end state and all validity checks are met without critical error. Assistance and errors follow frozen definitions. Report descriptive results only; no significance test or general usability claim at n=6–8.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Preregistered observed-study protocol; recordings with consent; observer logs; independent-coder sheet; SEQ/SUS forms.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Not evidenced.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No sessions may run without amendment approval. If approval/timing does not permit, retain the fully specified protocol as planned work and keep C5 Not evidenced.</w:t>
            </w:r>
          </w:p>
        </w:tc>
      </w:tr>
      <w:tr>
        <w:trPr>
          <w:cantSplit/>
        </w:trPr>
        <w:tc>
          <w:tcPr>
            <w:tcW w:type="dxa" w:w="64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C7</w:t>
            </w:r>
          </w:p>
        </w:tc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Each result record is bound to the questionnaire definition used for its configuration, and the definition, final response set and score can be reconstructed and checked from the export alone.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Hash verification: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matching canonical SHA-256 in configuration, recomputed loaded definition and submitted result ÷ tested cases; tampered configurations blocked ÷ tamper cases.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bCs/>
                <w:rFonts w:ascii="Calibri" w:hAnsi="Calibri"/>
                <w:b/>
                <w:sz w:val="16"/>
              </w:rPr>
              <w:t xml:space="preserve">Reconstruction: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fully reconstructed exports with 0 definition/response/score mismatches ÷ all fidelity cases.</w:t>
            </w:r>
          </w:p>
        </w:tc>
        <w:tc>
          <w:tcPr>
            <w:tcW w:type="dxa" w:w="30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Hash agreement 100%; every hash mismatch blocks submission and cannot show success. Reconstruction 9/9 with 0 mismatches; every export contains the complete definition, scorer and responses needed without repository lookup.</w:t>
            </w:r>
          </w:p>
        </w:tc>
        <w:tc>
          <w:tcPr>
            <w:tcW w:type="dxa" w:w="208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6"/>
              </w:rPr>
              <w:t xml:space="preserve">Configuration/result schema tests; tampered-link tests; export reconstruction report.</w:t>
            </w:r>
          </w:p>
        </w:tc>
        <w:tc>
          <w:tcPr>
            <w:tcW w:type="dxa" w:w="280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rFonts w:ascii="Calibri" w:hAnsi="Calibri"/>
                <w:b/>
                <w:sz w:val="16"/>
              </w:rPr>
              <w:t xml:space="preserve">Locally evidenced; release verification pending.</w:t>
            </w:r>
            <w:r>
              <w:rPr>
                <w:rFonts w:ascii="Calibri" w:hAnsi="Calibri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 xml:space="preserve">Hash checks pass in unit/component tests; 9/9 exports and 39/39 item responses reconstructed with 0 mismatches. Must be reproduced and deployed before the claim is marked Evidenced.</w:t>
            </w:r>
          </w:p>
        </w:tc>
      </w:tr>
    </w:tbl>
    <w:bookmarkEnd w:id="20"/>
    <w:bookmarkStart w:id="21" w:name="removed-row"/>
    <w:p>
      <w:pPr>
        <w:pStyle w:val="Heading2"/>
        <w:keepNext/>
        <w:keepLines/>
      </w:pPr>
      <w:r>
        <w:rPr>
          <w:rFonts w:ascii="Calibri" w:hAnsi="Calibri"/>
        </w:rPr>
        <w:t xml:space="preserve">Removed row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C6 (AQP versus matched Qualtrics participant accessibility comparison) is</w:t>
      </w:r>
      <w:r>
        <w:rPr>
          <w:bCs/>
          <w:rFonts w:ascii="Calibri" w:hAnsi="Calibri"/>
          <w:b/>
        </w:rPr>
        <w:t xml:space="preserve"> </w:t>
      </w:r>
      <w:r>
        <w:rPr>
          <w:bCs/>
          <w:rFonts w:ascii="Calibri" w:hAnsi="Calibri"/>
          <w:b/>
        </w:rPr>
        <w:t xml:space="preserve">removed.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withdrawn design confounded presentation structure and did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provide interpretable mechanism-level or score-equivalence evidence. It is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retained as an unevidenced active claim.</w:t>
      </w:r>
    </w:p>
    <w:bookmarkEnd w:id="21"/>
    <w:bookmarkEnd w:id="22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evaluation matrix v6</dc:title>
  <dc:creator>Yurui Wang</dc:creator>
  <cp:keywords>AQP, evaluation, accessibility, questionnaire</cp:keywords>
  <dcterms:created xsi:type="dcterms:W3CDTF">2026-08-09T20:14:39Z</dcterms:created>
  <dcterms:modified xsi:type="dcterms:W3CDTF">2026-08-09T20:14:39Z</dcterms:modified>
  <dc:subject>Version 6.0 | 9 August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