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cc9f769036f799cd1806195f5f2712be014bde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AQP manual assistive-technology audit v1.0</w:t>
      </w:r>
    </w:p>
    <w:p>
      <w:pPr>
        <w:pStyle w:val="FirstParagraph"/>
      </w:pPr>
      <w:r>
        <w:rPr>
          <w:rFonts w:ascii="Calibri" w:hAnsi="Calibri"/>
          <w:color w:val="59636E"/>
          <w:sz w:val="20"/>
        </w:rPr>
        <w:t xml:space="preserve">Status: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protocol ready; audit not yet executed</w:t>
      </w:r>
      <w:r>
        <w:rPr>
          <w:rFonts w:ascii="Calibri" w:hAnsi="Calibri"/>
          <w:color w:val="59636E"/>
          <w:sz w:val="20"/>
        </w:rPr>
        <w:br/>
      </w:r>
      <w:r>
        <w:rPr>
          <w:rFonts w:ascii="Calibri" w:hAnsi="Calibri"/>
          <w:color w:val="59636E"/>
          <w:sz w:val="20"/>
        </w:rPr>
        <w:t xml:space="preserve">Protocol frozen: 2026-08-09</w:t>
      </w:r>
      <w:r>
        <w:rPr>
          <w:rFonts w:ascii="Calibri" w:hAnsi="Calibri"/>
          <w:color w:val="59636E"/>
          <w:sz w:val="20"/>
        </w:rPr>
        <w:br/>
      </w:r>
      <w:r>
        <w:rPr>
          <w:rFonts w:ascii="Calibri" w:hAnsi="Calibri"/>
          <w:color w:val="59636E"/>
          <w:sz w:val="20"/>
        </w:rPr>
        <w:t xml:space="preserve">Release under test: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record the immutable release tag and commit SHA before testing</w:t>
      </w:r>
      <w:r>
        <w:rPr>
          <w:rFonts w:ascii="Calibri" w:hAnsi="Calibri"/>
          <w:color w:val="59636E"/>
          <w:sz w:val="20"/>
        </w:rPr>
        <w:br/>
      </w:r>
      <w:r>
        <w:rPr>
          <w:rFonts w:ascii="Calibri" w:hAnsi="Calibri"/>
          <w:color w:val="59636E"/>
          <w:sz w:val="20"/>
        </w:rPr>
        <w:t xml:space="preserve">Deployed URL:</w:t>
      </w:r>
      <w:r>
        <w:rPr>
          <w:rFonts w:ascii="Calibri" w:hAnsi="Calibri"/>
          <w:color w:val="59636E"/>
          <w:sz w:val="20"/>
        </w:rPr>
        <w:t xml:space="preserve"> </w:t>
      </w:r>
      <w:r>
        <w:rPr>
          <w:bCs/>
          <w:rFonts w:ascii="Calibri" w:hAnsi="Calibri"/>
          <w:b/>
          <w:color w:val="59636E"/>
          <w:sz w:val="20"/>
        </w:rPr>
        <w:t xml:space="preserve">record after the verified build is deployed</w:t>
      </w:r>
    </w:p>
    <w:bookmarkStart w:id="20" w:name="evidence-boundary"/>
    <w:p>
      <w:pPr>
        <w:pStyle w:val="Heading2"/>
        <w:keepNext/>
        <w:keepLines/>
      </w:pPr>
      <w:r>
        <w:rPr>
          <w:rFonts w:ascii="Calibri" w:hAnsi="Calibri"/>
        </w:rPr>
        <w:t xml:space="preserve">Evidence boundary</w:t>
      </w:r>
    </w:p>
    <w:p>
      <w:pPr>
        <w:pStyle w:val="FirstParagraph"/>
      </w:pPr>
      <w:r>
        <w:rPr>
          <w:rFonts w:ascii="Calibri" w:hAnsi="Calibri"/>
        </w:rPr>
        <w:t xml:space="preserve">This is a manual technical audit, not a study with disabled participants. It can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show what named browser and assistive-technology combinations expose on named AQP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screens. It cannot establish usability, benefit for disabled users, score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equivalence, universal accessibility or complete WCAG conformance.</w:t>
      </w:r>
    </w:p>
    <w:p>
      <w:pPr>
        <w:pStyle w:val="BodyText"/>
      </w:pPr>
      <w:r>
        <w:rPr>
          <w:rFonts w:ascii="Calibri" w:hAnsi="Calibri"/>
        </w:rPr>
        <w:t xml:space="preserve">An outcome is a pass only when the mechanism is usable in the tested route.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live region, label or focus call that exists in the markup but does not produce a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timely, understandable announcement or operable control is a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fail</w:t>
      </w:r>
      <w:r>
        <w:rPr>
          <w:rFonts w:ascii="Calibri" w:hAnsi="Calibri"/>
        </w:rPr>
        <w:t xml:space="preserve">, not a pass.</w:t>
      </w:r>
    </w:p>
    <w:p>
      <w:pPr>
        <w:pStyle w:val="BodyText"/>
      </w:pPr>
      <w:r>
        <w:rPr>
          <w:rFonts w:ascii="Calibri" w:hAnsi="Calibri"/>
        </w:rPr>
        <w:t xml:space="preserve">Do not publish an empty cell as a pass. Until a required route has been run, mark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it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NT (not tested)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report the corresponding claim as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Not evidenced</w:t>
      </w:r>
      <w:r>
        <w:rPr>
          <w:rFonts w:ascii="Calibri" w:hAnsi="Calibri"/>
        </w:rPr>
        <w:t xml:space="preserve">.</w:t>
      </w:r>
    </w:p>
    <w:bookmarkEnd w:id="20"/>
    <w:bookmarkStart w:id="21" w:name="outcome-and-severity-codes"/>
    <w:p>
      <w:pPr>
        <w:pStyle w:val="Heading2"/>
        <w:keepNext/>
        <w:keepLines/>
      </w:pPr>
      <w:r>
        <w:rPr>
          <w:rFonts w:ascii="Calibri" w:hAnsi="Calibri"/>
        </w:rPr>
        <w:t xml:space="preserve">Outcome and severity codes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P — Pass: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expected information and operation are available without an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undocumented workaround.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F — Fail: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expected information or operation is missing, late,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misleading, duplicated to the point of being unusable, or cannot be operated.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NA — Not applicable: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the criterion genuinely does not apply to the state or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route; give a reason.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NT — Not tested: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 observation exists. NT is never counted as a pass.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S1 minor: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noticeable inconvenience with an immediate safe route.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S2 major: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task can continue only after a substantial workaround or repeated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recovery.</w:t>
      </w:r>
    </w:p>
    <w:p>
      <w:pPr>
        <w:numPr>
          <w:ilvl w:val="0"/>
          <w:numId w:val="1001"/>
        </w:numPr>
        <w:pStyle w:val="Compact"/>
        <w:spacing w:after="160" w:line="280" w:lineRule="auto"/>
        <w:ind w:left="720" w:hanging="360"/>
      </w:pPr>
      <w:r>
        <w:rPr>
          <w:bCs/>
          <w:rFonts w:ascii="Calibri" w:hAnsi="Calibri"/>
          <w:b/>
        </w:rPr>
        <w:t xml:space="preserve">S3 critical: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blocks completion, causes an unintended response, loses data,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or presents a false success.</w:t>
      </w:r>
    </w:p>
    <w:bookmarkEnd w:id="21"/>
    <w:bookmarkStart w:id="22" w:name="frozen-test-environments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Frozen test environments</w:t>
      </w:r>
    </w:p>
    <w:p>
      <w:pPr>
        <w:pStyle w:val="FirstParagraph"/>
      </w:pPr>
      <w:r>
        <w:rPr>
          <w:rFonts w:ascii="Calibri" w:hAnsi="Calibri"/>
        </w:rPr>
        <w:t xml:space="preserve">Record exact versions; do not substitute one engine as evidence for another.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526"/>
        <w:gridCol w:w="3051"/>
        <w:gridCol w:w="5340"/>
        <w:gridCol w:w="2670"/>
        <w:gridCol w:w="1525"/>
      </w:tblGrid>
      <w:tr>
        <w:trPr>
          <w:tblHeader w:val="true"/>
          <w:cantSplit/>
        </w:trPr>
        <w:tc>
          <w:tcPr>
            <w:vAlign w:val="top"/>
            <w:tcW w:type="dxa" w:w="152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Route ID</w:t>
            </w:r>
          </w:p>
        </w:tc>
        <w:tc>
          <w:tcPr>
            <w:vAlign w:val="top"/>
            <w:tcW w:type="dxa" w:w="305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combination</w:t>
            </w:r>
          </w:p>
        </w:tc>
        <w:tc>
          <w:tcPr>
            <w:vAlign w:val="top"/>
            <w:tcW w:type="dxa" w:w="53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Version and configuration</w:t>
            </w:r>
          </w:p>
        </w:tc>
        <w:tc>
          <w:tcPr>
            <w:vAlign w:val="top"/>
            <w:tcW w:type="dxa" w:w="267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Auditor/date</w:t>
            </w:r>
          </w:p>
        </w:tc>
        <w:tc>
          <w:tcPr>
            <w:vAlign w:val="top"/>
            <w:tcW w:type="dxa" w:w="152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152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R1</w:t>
            </w:r>
          </w:p>
        </w:tc>
        <w:tc>
          <w:tcPr>
            <w:tcW w:type="dxa" w:w="30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 + Firefox on Windows</w:t>
            </w:r>
          </w:p>
        </w:tc>
        <w:tc>
          <w:tcPr>
            <w:tcW w:type="dxa" w:w="53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Windows: ___; NVDA: ___; Firefox: ___; NVDA speech/browse-mode settings: ___</w:t>
            </w:r>
          </w:p>
        </w:tc>
        <w:tc>
          <w:tcPr>
            <w:tcW w:type="dxa" w:w="26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___</w:t>
            </w:r>
          </w:p>
        </w:tc>
        <w:tc>
          <w:tcPr>
            <w:tcW w:type="dxa" w:w="152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52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R2</w:t>
            </w:r>
          </w:p>
        </w:tc>
        <w:tc>
          <w:tcPr>
            <w:tcW w:type="dxa" w:w="30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NVDA + Chrome on Windows</w:t>
            </w:r>
          </w:p>
        </w:tc>
        <w:tc>
          <w:tcPr>
            <w:tcW w:type="dxa" w:w="53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Windows: ___; NVDA: ___; Chrome: ___; NVDA speech/browse-mode settings: ___</w:t>
            </w:r>
          </w:p>
        </w:tc>
        <w:tc>
          <w:tcPr>
            <w:tcW w:type="dxa" w:w="26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___</w:t>
            </w:r>
          </w:p>
        </w:tc>
        <w:tc>
          <w:tcPr>
            <w:tcW w:type="dxa" w:w="152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52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R3</w:t>
            </w:r>
          </w:p>
        </w:tc>
        <w:tc>
          <w:tcPr>
            <w:tcW w:type="dxa" w:w="30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VoiceOver + Safari on macOS</w:t>
            </w:r>
          </w:p>
        </w:tc>
        <w:tc>
          <w:tcPr>
            <w:tcW w:type="dxa" w:w="53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macOS: ___; VoiceOver: ___; Safari: ___; Quick Nav/verbosity settings: ___</w:t>
            </w:r>
          </w:p>
        </w:tc>
        <w:tc>
          <w:tcPr>
            <w:tcW w:type="dxa" w:w="26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___</w:t>
            </w:r>
          </w:p>
        </w:tc>
        <w:tc>
          <w:tcPr>
            <w:tcW w:type="dxa" w:w="152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52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R4</w:t>
            </w:r>
          </w:p>
        </w:tc>
        <w:tc>
          <w:tcPr>
            <w:tcW w:type="dxa" w:w="305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One operating-system voice-control route</w:t>
            </w:r>
          </w:p>
        </w:tc>
        <w:tc>
          <w:tcPr>
            <w:tcW w:type="dxa" w:w="53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Product/version: ___; OS: ___; browser: ___; command-overlay settings: ___</w:t>
            </w:r>
          </w:p>
        </w:tc>
        <w:tc>
          <w:tcPr>
            <w:tcW w:type="dxa" w:w="267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___</w:t>
            </w:r>
          </w:p>
        </w:tc>
        <w:tc>
          <w:tcPr>
            <w:tcW w:type="dxa" w:w="152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p>
      <w:pPr>
        <w:pStyle w:val="BodyText"/>
      </w:pPr>
      <w:r>
        <w:rPr>
          <w:rFonts w:ascii="Calibri" w:hAnsi="Calibri"/>
        </w:rPr>
        <w:t xml:space="preserve">Use a clean browser profile. Keep the same questionnaire definition, participant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code pattern and assigned answers across R1–R4. Browser extensions must be listed.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Do not enter personal or research data.</w:t>
      </w:r>
    </w:p>
    <w:bookmarkEnd w:id="22"/>
    <w:bookmarkStart w:id="23" w:name="fixed-test-data"/>
    <w:p>
      <w:pPr>
        <w:pStyle w:val="Heading2"/>
        <w:keepNext/>
        <w:keepLines/>
      </w:pPr>
      <w:r>
        <w:rPr>
          <w:rFonts w:ascii="Calibri" w:hAnsi="Calibri"/>
        </w:rPr>
        <w:t xml:space="preserve">Fixed test data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SUS participant code: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AUDIT-SUS-[route]</w:t>
      </w:r>
      <w:r>
        <w:rPr>
          <w:rFonts w:ascii="Calibri" w:hAnsi="Calibri"/>
        </w:rPr>
        <w:t xml:space="preserve">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SUS answer vector: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5, 1, 4, 2, 3, 5, 1, 4, 2, 3</w:t>
      </w:r>
      <w:r>
        <w:rPr>
          <w:rFonts w:ascii="Calibri" w:hAnsi="Calibri"/>
        </w:rPr>
        <w:t xml:space="preserve">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Expected SUS score: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50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under Brooke's scoring rule, implemented by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configured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sus-standard-v1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scorer.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NASA-TLX pairwise case: six ratings of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50</w:t>
      </w:r>
      <w:r>
        <w:rPr>
          <w:rFonts w:ascii="Calibri" w:hAnsi="Calibri"/>
        </w:rPr>
        <w:t xml:space="preserve">, then inspect the first pair.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Recovery case: save exactly three of ten SUS answers, reload, and inspect the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offer before resuming.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 proposal phrase: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number four</w:t>
      </w:r>
      <w:r>
        <w:rPr>
          <w:rFonts w:ascii="Calibri" w:hAnsi="Calibri"/>
        </w:rPr>
        <w:t xml:space="preserve">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Voice safety phrase: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not four</w:t>
      </w:r>
      <w:r>
        <w:rPr>
          <w:rFonts w:ascii="Calibri" w:hAnsi="Calibri"/>
        </w:rPr>
        <w:t xml:space="preserve">; the interface must not propose or record 4.</w:t>
      </w:r>
    </w:p>
    <w:p>
      <w:pPr>
        <w:numPr>
          <w:ilvl w:val="0"/>
          <w:numId w:val="1002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Imported label case: use the committed five-point German fixture with endpoint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labels and labelled middle options.</w:t>
      </w:r>
    </w:p>
    <w:bookmarkEnd w:id="23"/>
    <w:bookmarkStart w:id="24" w:name="how-to-record-evidence"/>
    <w:p>
      <w:pPr>
        <w:pStyle w:val="Heading2"/>
        <w:keepNext/>
        <w:keepLines/>
      </w:pPr>
      <w:r>
        <w:rPr>
          <w:rFonts w:ascii="Calibri" w:hAnsi="Calibri"/>
        </w:rPr>
        <w:t xml:space="preserve">How to record evidence</w:t>
      </w:r>
    </w:p>
    <w:p>
      <w:pPr>
        <w:pStyle w:val="FirstParagraph"/>
      </w:pPr>
      <w:r>
        <w:rPr>
          <w:rFonts w:ascii="Calibri" w:hAnsi="Calibri"/>
        </w:rPr>
        <w:t xml:space="preserve">For every required cell, record: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P, F or NA;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exact spoken announcement where the check concerns speech;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control or element that receives focus;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the exact voice command and observed target for R4;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an evidence ID (</w:t>
      </w:r>
      <w:r>
        <w:rPr>
          <w:rStyle w:val="VerbatimChar"/>
          <w:rFonts w:ascii="Calibri" w:hAnsi="Calibri"/>
        </w:rPr>
        <w:t xml:space="preserve">R1-A06</w:t>
      </w:r>
      <w:r>
        <w:rPr>
          <w:rFonts w:ascii="Calibri" w:hAnsi="Calibri"/>
        </w:rPr>
        <w:t xml:space="preserve">, for example);</w:t>
      </w:r>
    </w:p>
    <w:p>
      <w:pPr>
        <w:numPr>
          <w:ilvl w:val="0"/>
          <w:numId w:val="1003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issue ID and severity for every failure.</w:t>
      </w:r>
    </w:p>
    <w:p>
      <w:pPr>
        <w:pStyle w:val="FirstParagraph"/>
      </w:pPr>
      <w:r>
        <w:rPr>
          <w:rFonts w:ascii="Calibri" w:hAnsi="Calibri"/>
        </w:rPr>
        <w:t xml:space="preserve">Quotes must be transcribed from the observed output, not copied from source code.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 unexpected silence as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[no announcement]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and harmful repetition exactly.</w:t>
      </w:r>
    </w:p>
    <w:bookmarkEnd w:id="24"/>
    <w:bookmarkStart w:id="30" w:name="state-by-state-audit-record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State-by-state audit record</w:t>
      </w:r>
    </w:p>
    <w:p>
      <w:pPr>
        <w:pStyle w:val="FirstParagraph"/>
      </w:pPr>
      <w:r>
        <w:rPr>
          <w:rFonts w:ascii="Calibri" w:hAnsi="Calibri"/>
        </w:rPr>
        <w:t xml:space="preserve">Complete every route column with</w:t>
      </w:r>
      <w:r>
        <w:rPr>
          <w:rFonts w:ascii="Calibri" w:hAnsi="Calibri"/>
        </w:rPr>
        <w:t xml:space="preserve"> </w:t>
      </w:r>
      <w:r>
        <w:rPr>
          <w:rStyle w:val="VerbatimChar"/>
          <w:rFonts w:ascii="Calibri" w:hAnsi="Calibri"/>
        </w:rPr>
        <w:t xml:space="preserve">P/F/NA — exact observation (evidence ID)</w:t>
      </w:r>
      <w:r>
        <w:rPr>
          <w:rFonts w:ascii="Calibri" w:hAnsi="Calibri"/>
        </w:rPr>
        <w:t xml:space="preserve">.</w:t>
      </w:r>
    </w:p>
    <w:bookmarkStart w:id="25" w:name="introduction-and-item-entry-a01a04"/>
    <w:p>
      <w:pPr>
        <w:pStyle w:val="Heading3"/>
        <w:keepNext/>
        <w:keepLines/>
      </w:pPr>
      <w:r>
        <w:rPr>
          <w:rFonts w:ascii="Calibri" w:hAnsi="Calibri"/>
        </w:rPr>
        <w:t xml:space="preserve">Introduction and item entry (A01–A04)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A01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1.3.1, 1.3.2, 2.4.6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Open the participant introduction from its generated link.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One useful page heading, short task purpose, logical reading order and one Start action are exposed before optional detail.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3.3.2, 4.1.2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Inspect the participant-code field.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link-supplied pseudonymous code is present, editable, labelled and not announced as invalid before Start.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Expand and collapse “Adjust accessibility support (optional)”.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Name, role and expanded state are exposed; the full audio-guidance panel occurs here once and is not repeated on item screens.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A04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1.3.1, 2.4.3, 2.4.6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Start SUS and arrive at item 1.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Focus moves to the item heading; item number/progress and complete item statement are announced once in a useful order.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bookmarkEnd w:id="25"/>
    <w:bookmarkStart w:id="26" w:name="Xfc598643eb0683f64ca117cd7bce4068c0db51c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Item operation and voice availability (A05–A09)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A05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1.3.1, 3.3.2, 4.1.2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Navigate all response options for item 1 without selecting.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One required radio group is exposed with its question, each option has its value and answer label, and arrow-key/state feedback is usable.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A06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2.4.3, 3.3.1, 3.3.3, 4.1.3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Activate Next with no answer.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“There is a problem” and the corrective message are announced; focus moves to a useful error location without requiring a search. Record exact speech.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A07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2.4.3, 3.2.2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Correct the error, choose 5 and activate Next.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Selection alone does not change screen; Next moves to item 2 and focus reaches its heading.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A08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1.3.1, 2.4.3, 4.1.2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Complete NASA-TLX ratings and enter the first pairwise comparison.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comparison prompt, both named choices, checked state and progress are exposed as one operable group.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A09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3.3.2, 4.1.2, 4.1.3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Open built-in voice input on a rating screen.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Supported routes expose a labelled Start control and instructions; unsupported routes expose a clear unavailable state rather than a hidden or dead control.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bookmarkEnd w:id="26"/>
    <w:bookmarkStart w:id="27" w:name="voice-listening-and-safety-a10a13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Voice listening and safety (A10–A13)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A10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Start built-in voice recognition and wait without speaking.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Listening status is announced promptly and once; the interface remains cancellable. Record exact speech and delay.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 unless this route also uses built-in recognition: ___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A11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2.4.3, 3.3.3, 3.3.4, 4.1.3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Say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number four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and wait at the proposal.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proposed value/label is announced, remains uncommitted and focus reaches a useful Confirm/Reject control.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 unless tested through built-in recognition: ___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3.3.4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First say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not four</w:t>
            </w:r>
            <w:r>
              <w:rPr>
                <w:rFonts w:ascii="Calibri" w:hAnsi="Calibri"/>
                <w:sz w:val="15"/>
              </w:rPr>
              <w:t xml:space="preserve">; then say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number four</w:t>
            </w:r>
            <w:r>
              <w:rPr>
                <w:rFonts w:ascii="Calibri" w:hAnsi="Calibri"/>
                <w:sz w:val="15"/>
              </w:rPr>
              <w:t xml:space="preserve">, reject the proposal, repeat it and confirm.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Style w:val="VerbatimChar"/>
                <w:rFonts w:ascii="Calibri" w:hAnsi="Calibri"/>
                <w:sz w:val="15"/>
              </w:rPr>
              <w:t xml:space="preserve">not four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Fonts w:ascii="Calibri" w:hAnsi="Calibri"/>
                <w:sz w:val="15"/>
              </w:rPr>
              <w:t xml:space="preserve">must not propose or record 4. Reject leaves the stored answer unchanged; Confirm records only the stated proposal.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 unless tested through built-in recognition: ___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3.3.1, 3.3.3, 4.1.3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Trigger the no-speech/error state.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 specific error and safe next action are announced; no answer is committed.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 unless tested through built-in recognition: ___</w:t>
            </w:r>
          </w:p>
        </w:tc>
      </w:tr>
    </w:tbl>
    <w:bookmarkEnd w:id="27"/>
    <w:bookmarkStart w:id="28" w:name="recovery-review-and-submission-a14a18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Recovery, review and submission (A14–A18)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A14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After three SUS answers, reload and wait on the saved-progress offer.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Focus reaches Resume; the exact saved count</w:t>
            </w:r>
            <w:r>
              <w:rPr>
                <w:rFonts w:ascii="Calibri" w:hAnsi="Calibri"/>
                <w:sz w:val="15"/>
              </w:rPr>
              <w:t xml:space="preserve"> </w:t>
            </w:r>
            <w:r>
              <w:rPr>
                <w:rStyle w:val="VerbatimChar"/>
                <w:rFonts w:ascii="Calibri" w:hAnsi="Calibri"/>
                <w:sz w:val="15"/>
              </w:rPr>
              <w:t xml:space="preserve">3 of 10</w:t>
            </w:r>
            <w:r>
              <w:rPr>
                <w:rFonts w:ascii="Calibri" w:hAnsi="Calibri"/>
                <w:sz w:val="15"/>
              </w:rPr>
              <w:t xml:space="preserve">, Resume and Erase choices are available and announced. Record exact speech.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A15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2.4.3, 3.2.2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Resume the saved session.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The three answers remain; the logical next item and heading receive focus; no answer changes automatically.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A16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1.3.1, 2.4.6, 3.3.4, 4.1.2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Reach the SUS review screen and navigate each record.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Every record exposes the full item statement, selected value and visible answer label, plus a uniquely named Change control.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A17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2.4.3, 3.3.4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Change item 2 to 5 and save.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Change opens item 2 directly; saving returns to review; focus returns to item 2; its updated label is announced and other answers remain unchanged.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A18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3.3.4, 4.1.3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Submit the reviewed answers.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Completion and storage status are truthful and announced; a failure must not be presented as success.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bookmarkEnd w:id="28"/>
    <w:bookmarkStart w:id="29" w:name="X77858ba9d57e857875da5668b2c82b1ce5447fc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Route-wide and imported-scale checks (A19–A23)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rPr>
          <w:tblHeader w:val="true"/>
          <w:cantSplit/>
        </w:trPr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ID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success criterion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Screen/state and fixed action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Required observable result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NVDA/Firefox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NVDA/Chrome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VoiceOver/Safari</w:t>
            </w:r>
          </w:p>
        </w:tc>
        <w:tc>
          <w:tcPr>
            <w:vAlign w:val="top"/>
            <w:tcW w:type="dxa" w:w="17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OS voice control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A19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2.1.1, 2.1.2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Repeat the complete route using keyboard commands only.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All functions are reachable and escapable; no keyboard trap occurs in details, voice, recovery, review or completion states.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A20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2.4.7, 2.4.11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Inspect visible focus on every interactive control at 100% and 200% zoom.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Focus is visible and not fully obscured. Screen-reader routes still record the visual result separately.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A21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2.5.3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In R4, use the visible wording to activate Start, an answer, Next, Change, Save and Submit.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Each command reaches the intended single control; visible label text occurs in the accessible name. Record commands verbatim.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NA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A22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1.4.10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At 320 CSS pixels and at 200% zoom, inspect introduction, item, pairwise, error, voice, recovery, review and completion.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Content reflows without two-dimensional scrolling for ordinary content; controls and announcements remain usable.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  <w:tr>
        <w:trPr>
          <w:cantSplit/>
        </w:trPr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A23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1.3.1, 4.1.2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Open the imported five-point German item.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Endpoint labels are announced through the legend and are not repeated visually inside endpoint options; the three distinct middle labels remain visible and exposed with their options.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7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</w:tr>
    </w:tbl>
    <w:bookmarkEnd w:id="29"/>
    <w:bookmarkEnd w:id="30"/>
    <w:bookmarkStart w:id="31" w:name="issue-log"/>
    <w:p>
      <w:pPr>
        <w:pStyle w:val="Heading2"/>
        <w:keepNext/>
        <w:keepLines/>
      </w:pPr>
      <w:r>
        <w:rPr>
          <w:rFonts w:ascii="Calibri" w:hAnsi="Calibri"/>
        </w:rPr>
        <w:t xml:space="preserve">Issue log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501"/>
        <w:gridCol w:w="1218"/>
        <w:gridCol w:w="2077"/>
        <w:gridCol w:w="3224"/>
        <w:gridCol w:w="2364"/>
        <w:gridCol w:w="2364"/>
        <w:gridCol w:w="2364"/>
      </w:tblGrid>
      <w:tr>
        <w:trPr>
          <w:tblHeader w:val="true"/>
          <w:cantSplit/>
        </w:trPr>
        <w:tc>
          <w:tcPr>
            <w:vAlign w:val="top"/>
            <w:tcW w:type="dxa" w:w="501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Issue ID</w:t>
            </w:r>
          </w:p>
        </w:tc>
        <w:tc>
          <w:tcPr>
            <w:vAlign w:val="top"/>
            <w:tcW w:type="dxa" w:w="1218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Route/check</w:t>
            </w:r>
          </w:p>
        </w:tc>
        <w:tc>
          <w:tcPr>
            <w:vAlign w:val="top"/>
            <w:tcW w:type="dxa" w:w="2077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Observed result</w:t>
            </w:r>
          </w:p>
        </w:tc>
        <w:tc>
          <w:tcPr>
            <w:vAlign w:val="top"/>
            <w:tcW w:type="dxa" w:w="322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Expected result</w:t>
            </w:r>
          </w:p>
        </w:tc>
        <w:tc>
          <w:tcPr>
            <w:vAlign w:val="top"/>
            <w:tcW w:type="dxa" w:w="23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Severity</w:t>
            </w:r>
          </w:p>
        </w:tc>
        <w:tc>
          <w:tcPr>
            <w:vAlign w:val="top"/>
            <w:tcW w:type="dxa" w:w="23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Reproduction steps</w:t>
            </w:r>
          </w:p>
        </w:tc>
        <w:tc>
          <w:tcPr>
            <w:vAlign w:val="top"/>
            <w:tcW w:type="dxa" w:w="236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Resolution/re-test</w:t>
            </w:r>
          </w:p>
        </w:tc>
      </w:tr>
      <w:tr>
        <w:trPr>
          <w:cantSplit/>
        </w:trPr>
        <w:tc>
          <w:tcPr>
            <w:tcW w:type="dxa" w:w="501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1218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207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322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23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23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  <w:tc>
          <w:tcPr>
            <w:tcW w:type="dxa" w:w="236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—</w:t>
            </w:r>
          </w:p>
        </w:tc>
      </w:tr>
    </w:tbl>
    <w:bookmarkEnd w:id="31"/>
    <w:bookmarkStart w:id="34" w:name="wcag-result-summary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WCAG result summary</w:t>
      </w:r>
    </w:p>
    <w:p>
      <w:pPr>
        <w:pStyle w:val="FirstParagraph"/>
      </w:pPr>
      <w:r>
        <w:rPr>
          <w:rFonts w:ascii="Calibri" w:hAnsi="Calibri"/>
        </w:rPr>
        <w:t xml:space="preserve">Report criterion outcomes separately by route. A criterion is a pass for a route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only if every applicable check mapped to it passes. One failed applicable check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makes that route/criterion a fail. NT checks keep it Not evidenced.</w:t>
      </w:r>
    </w:p>
    <w:bookmarkStart w:id="32" w:name="X19e2421f03f4dcacfc7736eef09ccf8b7a32d2c"/>
    <w:p>
      <w:pPr>
        <w:pStyle w:val="Heading3"/>
        <w:keepNext/>
        <w:keepLines/>
      </w:pPr>
      <w:r>
        <w:rPr>
          <w:rFonts w:ascii="Calibri" w:hAnsi="Calibri"/>
        </w:rPr>
        <w:t xml:space="preserve">Structure, navigation and operation criteria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965"/>
        <w:gridCol w:w="1965"/>
        <w:gridCol w:w="1965"/>
        <w:gridCol w:w="1965"/>
        <w:gridCol w:w="1965"/>
        <w:gridCol w:w="4287"/>
      </w:tblGrid>
      <w:tr>
        <w:trPr>
          <w:tblHeader w:val="true"/>
          <w:cantSplit/>
        </w:trPr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SC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P/F/NA/NT</w:t>
            </w:r>
          </w:p>
        </w:tc>
        <w:tc>
          <w:tcPr>
            <w:vAlign w:val="top"/>
            <w:tcW w:type="dxa" w:w="4287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IDs and notes</w:t>
            </w: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1.3.1 Info and Relationships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1.3.2 Meaningful Sequence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1.4.10 Reflow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2.1.1 Keyboard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2.1.2 No Keyboard Trap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2.4.3 Focus Order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2.4.6 Headings and Labels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2.4.7 Focus Visible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2.4.11 Focus Not Obscured (Minimum)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2.5.3 Label in Name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</w:tbl>
    <w:bookmarkEnd w:id="32"/>
    <w:bookmarkStart w:id="33" w:name="input-error-and-status-criteria"/>
    <w:p>
      <w:pPr>
        <w:pStyle w:val="Heading3"/>
        <w:keepNext/>
        <w:keepLines/>
        <w:pageBreakBefore/>
        <w:spacing w:before="840"/>
      </w:pPr>
      <w:r>
        <w:rPr>
          <w:rFonts w:ascii="Calibri" w:hAnsi="Calibri"/>
        </w:rPr>
        <w:t xml:space="preserve">Input, error and status criteria</w:t>
      </w:r>
    </w:p>
    <w:tbl>
      <w:tblPr>
        <w:tblW w:type="dxa" w:w="14112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1965"/>
        <w:gridCol w:w="1965"/>
        <w:gridCol w:w="1965"/>
        <w:gridCol w:w="1965"/>
        <w:gridCol w:w="1965"/>
        <w:gridCol w:w="4287"/>
      </w:tblGrid>
      <w:tr>
        <w:trPr>
          <w:tblHeader w:val="true"/>
          <w:cantSplit/>
        </w:trPr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WCAG 2.2 SC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R1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R2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R3 P/F/NA/NT</w:t>
            </w:r>
          </w:p>
        </w:tc>
        <w:tc>
          <w:tcPr>
            <w:vAlign w:val="top"/>
            <w:tcW w:type="dxa" w:w="1965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R4 P/F/NA/NT</w:t>
            </w:r>
          </w:p>
        </w:tc>
        <w:tc>
          <w:tcPr>
            <w:vAlign w:val="top"/>
            <w:tcW w:type="dxa" w:w="4287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5"/>
              </w:rPr>
              <w:t xml:space="preserve">Evidence IDs and notes</w:t>
            </w: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3.2.2 On Input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3.3.1 Error Identification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3.3.2 Labels or Instructions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3.3.3 Error Suggestion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3.3.4 Error Prevention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4.1.2 Name, Role, Value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4.1.3 Status Messages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1965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sz w:val="15"/>
              </w:rPr>
              <w:t xml:space="preserve">NT</w:t>
            </w:r>
          </w:p>
        </w:tc>
        <w:tc>
          <w:tcPr>
            <w:tcW w:type="dxa" w:w="4287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</w:tbl>
    <w:bookmarkEnd w:id="33"/>
    <w:bookmarkEnd w:id="34"/>
    <w:bookmarkStart w:id="35" w:name="quantified-audit-summary"/>
    <w:p>
      <w:pPr>
        <w:pStyle w:val="Heading2"/>
        <w:keepNext/>
        <w:keepLines/>
        <w:pageBreakBefore/>
        <w:spacing w:before="840"/>
      </w:pPr>
      <w:r>
        <w:rPr>
          <w:rFonts w:ascii="Calibri" w:hAnsi="Calibri"/>
        </w:rPr>
        <w:t xml:space="preserve">Quantified audit summary</w:t>
      </w:r>
    </w:p>
    <w:p>
      <w:pPr>
        <w:pStyle w:val="FirstParagraph"/>
      </w:pPr>
      <w:r>
        <w:rPr>
          <w:rFonts w:ascii="Calibri" w:hAnsi="Calibri"/>
        </w:rPr>
        <w:t xml:space="preserve">Complete only after every required cell has P, F or NA.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Required route/check cells: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Passed: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Failed: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Not applicable with reasons: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Not tested: ___ (must be zero before calling the audit complete)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WCAG route/criterion passes: ___ / ___ applicable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S1 issues: ___; S2 issues: ___; S3 issues: ___</w:t>
      </w:r>
    </w:p>
    <w:p>
      <w:pPr>
        <w:numPr>
          <w:ilvl w:val="0"/>
          <w:numId w:val="1004"/>
        </w:numPr>
        <w:pStyle w:val="Compact"/>
        <w:spacing w:after="160" w:line="280" w:lineRule="auto"/>
        <w:ind w:left="720" w:hanging="360"/>
      </w:pPr>
      <w:r>
        <w:rPr>
          <w:rFonts w:ascii="Calibri" w:hAnsi="Calibri"/>
        </w:rPr>
        <w:t xml:space="preserve">Markup mechanisms present but unusable in actual announcement/operation: ___</w:t>
      </w:r>
    </w:p>
    <w:bookmarkEnd w:id="35"/>
    <w:bookmarkStart w:id="36" w:name="publication-wording"/>
    <w:p>
      <w:pPr>
        <w:pStyle w:val="Heading2"/>
        <w:keepNext/>
        <w:keepLines/>
      </w:pPr>
      <w:r>
        <w:rPr>
          <w:rFonts w:ascii="Calibri" w:hAnsi="Calibri"/>
        </w:rPr>
        <w:t xml:space="preserve">Publication wording</w:t>
      </w:r>
    </w:p>
    <w:p>
      <w:pPr>
        <w:pStyle w:val="FirstParagraph"/>
      </w:pPr>
      <w:r>
        <w:rPr>
          <w:rFonts w:ascii="Calibri" w:hAnsi="Calibri"/>
        </w:rPr>
        <w:t xml:space="preserve">Use only after replacing the brackets with observed counts:</w:t>
      </w:r>
    </w:p>
    <w:p>
      <w:pPr>
        <w:pStyle w:val="BlockText"/>
        <w:spacing w:before="80" w:after="160"/>
        <w:ind w:left="432" w:right="216"/>
      </w:pPr>
      <w:r>
        <w:rPr>
          <w:rFonts w:ascii="Calibri" w:hAnsi="Calibri"/>
          <w:i/>
          <w:color w:val="1F4D78"/>
          <w:sz w:val="20"/>
        </w:rPr>
        <w:t xml:space="preserve">A manual technical audit covered [N] pre-specified state checks across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NVDA/Firefox, NVDA/Chrome, VoiceOver/Safari and [OS voice-control route].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Results were reported per WCAG 2.2 success criterion as pass, fail or not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applicable, with exact announcements for dynamic states. [N/N] applicable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route/check cells passed and [N] failed. This is technical conformance evidence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for the named configurations, not evidence of benefit or usability for disabled</w:t>
      </w:r>
      <w:r>
        <w:rPr>
          <w:rFonts w:ascii="Calibri" w:hAnsi="Calibri"/>
          <w:i/>
          <w:color w:val="1F4D78"/>
          <w:sz w:val="20"/>
        </w:rPr>
        <w:t xml:space="preserve"> </w:t>
      </w:r>
      <w:r>
        <w:rPr>
          <w:rFonts w:ascii="Calibri" w:hAnsi="Calibri"/>
          <w:i/>
          <w:color w:val="1F4D78"/>
          <w:sz w:val="20"/>
        </w:rPr>
        <w:t xml:space="preserve">users.</w:t>
      </w:r>
    </w:p>
    <w:bookmarkEnd w:id="36"/>
    <w:bookmarkStart w:id="39" w:name="normative-reference"/>
    <w:p>
      <w:pPr>
        <w:pStyle w:val="Heading2"/>
        <w:keepNext/>
        <w:keepLines/>
      </w:pPr>
      <w:r>
        <w:rPr>
          <w:rFonts w:ascii="Calibri" w:hAnsi="Calibri"/>
        </w:rPr>
        <w:t xml:space="preserve">Normative reference</w:t>
      </w:r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hyperlink r:id="rId37">
        <w:r>
          <w:rPr>
            <w:rStyle w:val="Hyperlink"/>
          </w:rPr>
          <w:t xml:space="preserve">W3C,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Web Content Accessibility Guidelines (WCAG) 2.2</w:t>
        </w:r>
      </w:hyperlink>
    </w:p>
    <w:p>
      <w:pPr>
        <w:numPr>
          <w:ilvl w:val="0"/>
          <w:numId w:val="1005"/>
        </w:numPr>
        <w:pStyle w:val="Compact"/>
        <w:spacing w:after="160" w:line="280" w:lineRule="auto"/>
        <w:ind w:left="720" w:hanging="360"/>
      </w:pPr>
      <w:hyperlink r:id="rId38">
        <w:r>
          <w:rPr>
            <w:rStyle w:val="Hyperlink"/>
          </w:rPr>
          <w:t xml:space="preserve">W3C,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How to Meet WCAG 2.2 (Quick Reference)</w:t>
        </w:r>
      </w:hyperlink>
    </w:p>
    <w:bookmarkEnd w:id="39"/>
    <w:bookmarkEnd w:id="40"/>
    <w:sectPr>
      <w:headerReference w:type="default" r:id="rId9"/>
      <w:footerReference w:type="default" r:id="rId10"/>
      <w:headerReference w:type="even" r:id="rId11"/>
      <w:footerReference w:type="even" r:id="rId12"/>
      <w:pgSz w:orient="landscape" w:w="15840" w:h="12240"/>
      <w:pgMar w:top="1008" w:bottom="1008" w:left="864" w:right="864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7" Type="http://schemas.openxmlformats.org/officeDocument/2006/relationships/hyperlink" Target="https://www.w3.org/TR/WCAG22/" TargetMode="External"/><Relationship Id="rId38" Type="http://schemas.openxmlformats.org/officeDocument/2006/relationships/hyperlink" Target="https://www.w3.org/WAI/WCAG22/quickref/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www.w3.org/TR/WCAG22/" TargetMode="External"/><Relationship Id="rId38" Type="http://schemas.openxmlformats.org/officeDocument/2006/relationships/hyperlink" Target="https://www.w3.org/WAI/WCAG22/quickref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AQP manual assistive-technology audit v1.0</dc:title>
  <dc:creator>Yurui Wang</dc:creator>
  <cp:keywords>AQP, evaluation, accessibility, questionnaire</cp:keywords>
  <dcterms:created xsi:type="dcterms:W3CDTF">2026-08-09T20:14:40Z</dcterms:created>
  <dcterms:modified xsi:type="dcterms:W3CDTF">2026-08-09T20:14:40Z</dcterms:modified>
  <dc:subject>Protocol v1.0 | not yet executed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