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b81568782e75c1e34c862f01d59967a28d821"/>
    <w:p>
      <w:pPr>
        <w:pStyle w:val="Heading1"/>
        <w:keepNext/>
        <w:keepLines/>
        <w:spacing w:before="160" w:after="80"/>
      </w:pPr>
      <w:r>
        <w:rPr>
          <w:rFonts w:ascii="Calibri" w:hAnsi="Calibri"/>
          <w:b/>
          <w:color w:val="000000"/>
          <w:sz w:val="46"/>
        </w:rPr>
        <w:t xml:space="preserve">GDPR-Compliant Research Subject Receipt Form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Department: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UCL Interaction Centre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Study: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Accessible Questionnaire Platform — observed researcher study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Version: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1.0, 9 August 2026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Experimenter: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Yurui Wang</w:t>
      </w:r>
      <w:r>
        <w:rPr>
          <w:rFonts w:ascii="Calibri" w:hAnsi="Calibri"/>
        </w:rPr>
        <w:br/>
      </w:r>
      <w:r>
        <w:rPr>
          <w:bCs/>
          <w:rFonts w:ascii="Calibri" w:hAnsi="Calibri"/>
          <w:b/>
        </w:rPr>
        <w:t xml:space="preserve">Study address: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UCL Interaction Centre, 66–72 Gower Street, London WC1E 6EA</w:t>
      </w:r>
    </w:p>
    <w:bookmarkStart w:id="20" w:name="current-protocol-status"/>
    <w:p>
      <w:pPr>
        <w:pStyle w:val="Heading2"/>
        <w:keepNext/>
        <w:keepLines/>
      </w:pPr>
      <w:r>
        <w:rPr>
          <w:rFonts w:ascii="Calibri" w:hAnsi="Calibri"/>
        </w:rPr>
        <w:t xml:space="preserve">Current protocol status</w:t>
      </w:r>
    </w:p>
    <w:p>
      <w:pPr>
        <w:pStyle w:val="FirstParagraph"/>
      </w:pPr>
      <w:r>
        <w:rPr>
          <w:bCs/>
          <w:rFonts w:ascii="Calibri" w:hAnsi="Calibri"/>
          <w:b/>
        </w:rPr>
        <w:t xml:space="preserve">No payment is planned under amendment version 1.0. Do not issue this form.</w:t>
      </w:r>
    </w:p>
    <w:p>
      <w:pPr>
        <w:pStyle w:val="BodyText"/>
      </w:pPr>
      <w:r>
        <w:rPr>
          <w:rFonts w:ascii="Calibri" w:hAnsi="Calibri"/>
        </w:rPr>
        <w:t xml:space="preserve">If payment or reimbursement is added later, obtain ethics confirmation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update the Participant Information Sheet before recruitment. Then use this form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without collecting the participant's name, home address or signature.</w:t>
      </w:r>
    </w:p>
    <w:tbl>
      <w:tblPr>
        <w:tblW w:type="dxa" w:w="9360"/>
        <w:jc w:val="left"/>
        <w:tblLayout w:type="fixed"/>
        <w:tblLook w:firstRow="1" w:lastRow="0" w:firstColumn="0" w:lastColumn="0" w:noHBand="0" w:noVBand="0" w:val="0020"/>
        <w:tblInd w:type="dxa" w:w="120"/>
      </w:tblPr>
      <w:tblGrid>
        <w:gridCol w:w="2376"/>
        <w:gridCol w:w="1944"/>
        <w:gridCol w:w="1800"/>
        <w:gridCol w:w="3240"/>
      </w:tblGrid>
      <w:tr>
        <w:trPr>
          <w:tblHeader w:val="true"/>
          <w:tblHeader w:val="true"/>
          <w:cantSplit/>
        </w:trPr>
        <w:tc>
          <w:tcPr>
            <w:vAlign w:val="top"/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Sequential subject code</w:t>
            </w:r>
          </w:p>
        </w:tc>
        <w:tc>
          <w:tcPr>
            <w:vAlign w:val="top"/>
            <w:tcW w:type="dxa" w:w="19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Session date</w:t>
            </w:r>
          </w:p>
        </w:tc>
        <w:tc>
          <w:tcPr>
            <w:vAlign w:val="top"/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b/>
                <w:sz w:val="18"/>
              </w:rPr>
              <w:t xml:space="preserve">Approved amount</w:t>
            </w:r>
          </w:p>
        </w:tc>
        <w:tc>
          <w:tcPr>
            <w:vAlign w:val="top"/>
            <w:tcW w:type="dxa" w:w="32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 xml:space="preserve">Researcher confirms payment issued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94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  <w:jc w:val="right"/>
            </w:pPr>
            <w:r>
              <w:rPr>
                <w:rFonts w:ascii="Calibri" w:hAnsi="Calibri"/>
                <w:sz w:val="18"/>
              </w:rPr>
              <w:t xml:space="preserve">£</w:t>
            </w:r>
          </w:p>
        </w:tc>
        <w:tc>
          <w:tcPr>
            <w:tcW w:type="dxa" w:w="32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Compact"/>
              <w:spacing w:before="0" w:after="60" w:line="240" w:lineRule="auto"/>
            </w:pPr>
          </w:p>
        </w:tc>
      </w:tr>
    </w:tbl>
    <w:p>
      <w:pPr>
        <w:pStyle w:val="BodyText"/>
      </w:pPr>
      <w:r>
        <w:rPr>
          <w:bCs/>
          <w:rFonts w:ascii="Calibri" w:hAnsi="Calibri"/>
          <w:b/>
        </w:rPr>
        <w:t xml:space="preserve">Total: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£____________________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Experimenter's signature: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________________________________</w:t>
      </w:r>
    </w:p>
    <w:p>
      <w:pPr>
        <w:pStyle w:val="BodyText"/>
      </w:pPr>
      <w:r>
        <w:rPr>
          <w:bCs/>
          <w:rFonts w:ascii="Calibri" w:hAnsi="Calibri"/>
          <w:b/>
        </w:rPr>
        <w:t xml:space="preserve">Date: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____________________</w:t>
      </w:r>
    </w:p>
    <w:p>
      <w:pPr>
        <w:pStyle w:val="BodyText"/>
      </w:pPr>
      <w:r>
        <w:rPr>
          <w:rFonts w:ascii="Calibri" w:hAnsi="Calibri"/>
        </w:rPr>
        <w:t xml:space="preserve">This receipt deliberately excludes the subject's name, home address and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signature. The sequential code is stored separately from contact and consent</w:t>
      </w:r>
      <w:r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records.</w:t>
      </w:r>
    </w:p>
    <w:bookmarkEnd w:id="20"/>
    <w:bookmarkEnd w:id="21"/>
    <w:sectPr>
      <w:headerReference w:type="default" r:id="rId9"/>
      <w:footerReference w:type="default" r:id="rId10"/>
      <w:headerReference w:type="even" r:id="rId11"/>
      <w:footerReference w:type="even" r:id="rId12"/>
      <w:pgSz w:w="12240" w:h="15840"/>
      <w:pgMar w:top="1440" w:bottom="1440" w:left="1440" w:right="1440" w:header="708" w:footer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59636E"/>
        <w:sz w:val="17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GDPR-compliant subject receipt  |  Version 1.0 | not in use — no payment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color w:val="59636E"/>
        <w:sz w:val="17"/>
      </w:rPr>
      <w:t>AQP GDPR-compliant subject receipt  |  Version 1.0 | not in use — no payment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20" w:line="240" w:lineRule="auto"/>
      <w:outlineLvl w:val="0"/>
    </w:pPr>
    <w:rPr>
      <w:rFonts w:asciiTheme="majorHAnsi" w:cstheme="majorBidi" w:eastAsiaTheme="majorEastAsia" w:hAnsiTheme="majorHAnsi" w:ascii="Calibri" w:hAnsi="Calibri"/>
      <w:b/>
      <w:bCs/>
      <w:color w:val="2E74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Theme="majorHAnsi" w:cstheme="majorBidi" w:eastAsiaTheme="majorEastAsia" w:hAnsiTheme="majorHAnsi" w:ascii="Calibri" w:hAnsi="Calibri"/>
      <w:b/>
      <w:bCs/>
      <w:color w:val="2E74B5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 w:line="240" w:lineRule="auto"/>
      <w:outlineLvl w:val="2"/>
    </w:pPr>
    <w:rPr>
      <w:rFonts w:asciiTheme="majorHAnsi" w:cstheme="majorBidi" w:eastAsiaTheme="majorEastAsia" w:hAnsiTheme="majorHAnsi" w:ascii="Calibri" w:hAnsi="Calibri"/>
      <w:b/>
      <w:bCs/>
      <w:color w:val="1F4D78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GDPR-Compliant Research Subject Receipt Form</dc:title>
  <dc:creator>Yurui Wang</dc:creator>
  <cp:keywords>AQP, evaluation, accessibility, questionnaire</cp:keywords>
  <dcterms:created xsi:type="dcterms:W3CDTF">2026-08-09T20:14:40Z</dcterms:created>
  <dcterms:modified xsi:type="dcterms:W3CDTF">2026-08-09T20:14:40Z</dcterms:modified>
  <dc:subject>Version 1.0 | not in use — no payment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