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qp-evaluation-matrix-v6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AQP evaluation matrix v6</w:t>
      </w:r>
    </w:p>
    <w:p>
      <w:pPr>
        <w:pStyle w:val="FirstParagraph"/>
      </w:pPr>
      <w:r>
        <w:rPr>
          <w:rFonts w:ascii="Calibri" w:hAnsi="Calibri"/>
        </w:rPr>
        <w:t xml:space="preserve">Version: 6.1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Revised: 2026-08-10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Status rule: only evidence tied to the evaluated release is marked Evidenced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648"/>
        <w:gridCol w:w="2376"/>
        <w:gridCol w:w="3168"/>
        <w:gridCol w:w="3024"/>
        <w:gridCol w:w="2088"/>
        <w:gridCol w:w="2808"/>
      </w:tblGrid>
      <w:tr>
        <w:trPr>
          <w:tblHeader w:val="true"/>
          <w:tblHeader w:val="true"/>
          <w:cantSplit/>
        </w:trPr>
        <w:tc>
          <w:tcPr>
            <w:vAlign w:val="top"/>
            <w:tcW w:type="dxa" w:w="64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ID</w:t>
            </w:r>
          </w:p>
        </w:tc>
        <w:tc>
          <w:tcPr>
            <w:vAlign w:val="top"/>
            <w:tcW w:type="dxa" w:w="23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Bounded claim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Metric and operational calculation</w:t>
            </w:r>
          </w:p>
        </w:tc>
        <w:tc>
          <w:tcPr>
            <w:vAlign w:val="top"/>
            <w:tcW w:type="dxa" w:w="30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Decision rule</w:t>
            </w:r>
          </w:p>
        </w:tc>
        <w:tc>
          <w:tcPr>
            <w:vAlign w:val="top"/>
            <w:tcW w:type="dxa" w:w="208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Evidence source</w:t>
            </w:r>
          </w:p>
        </w:tc>
        <w:tc>
          <w:tcPr>
            <w:vAlign w:val="top"/>
            <w:tcW w:type="dxa" w:w="28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Current evidence status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C1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AQP implements bounded definition-driven reuse: supported questionnaire content is loaded through a shared runner and workflow, while response structures, scorers and optional supports remain explicit executable boundaries. It is not questionnaire-independent.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Compatible-definition isolation: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production files changed outside definition/registration for a compatible definition ÷ all changed production files.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Shared contract reuse: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common runner/recovery/result tests executed unchanged across at least two definitions ÷ frozen common contracts.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Allowlist correctness: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observed support state matching each definition declaration ÷ checked definition × support × state combinations.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Isolation is 0% outside definition/registration for a compatible definition; 100% of eligible common contracts are reused; allowlist agreement is 100%. A new scorer or response structure is reported as executable boundary extension, not a data-only platform pass.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Architecture/contract tests; allowlist tests; change manifest for a compatible fixture.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Partially evidenced.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Shared mechanisms and gates are implemented and tested across current definitions, but a frozen change-manifest experiment and final per-metric counts must be published for the release. The broader “questionnaire-independent” claim is withdrawn.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C2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For the named release and configurations only, participant screens satisfy the pre-specified automated browser checks and manual technical assistive-technology checks. No benefit or usability claim for disabled users is made.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Rendered browser: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passed state/profile scans ÷ 60 required scans (12 states × 5 profiles), with axe violations, incomplete checks, overflow and target size reported.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Manual AT: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passed applicable route/check cells ÷ all applicable cells on NVDA/Firefox, NVDA/Chrome, VoiceOver/Safari and one OS voice-control route; report WCAG SC outcomes and exact dynamic announcements.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All 60 browser scans present; 0 automatically detected violations; 0 overflow failures; 0 critical target-size failures; incomplete axe checks listed. Manual audit has 0 NT cells, every applicable cell P/F, and no S3 failure in a technically supported route. A markup mechanism that is not usefully announced is F.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Playwright/axe JSON+HTML and trace artefact; cross-browser matrix; versioned manual AT audit.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Not evidenced overall.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PR CI run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Style w:val="VerbatimChar"/>
                <w:rFonts w:ascii="Calibri" w:hAnsi="Calibri"/>
                <w:sz w:val="16"/>
              </w:rPr>
              <w:t xml:space="preserve">31339674025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completed 60/60 browser scans for the synthetic semantic-differential correction candidate with 0 violations, incomplete checks, overflow failures, target-size failures or missing states. All manual route cells remain NT, so the combined C2 decision rule is not met. No general accessibility or disabled-user benefit claim is available.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C3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Within the frozen support boundary, AQP preserves item content/order, response labels/stored values, required status, scoring identifier and reported score from source to rendered response and result.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Fidelity mismatch rate: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unequal expected/observed fields ÷ all independent-oracle comparisons, reported for every distributable built-in instrument and every QSF/LSS/LSG/LSQ fixture.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0 mismatches in every case. One missing, reordered, relabelled, revalued or differently scored field fails the release.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Hand-maintained source-of-truth JSON; programmatic production-path round trip; machine-readable report.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Evidenced in PR CI; final release verification pending.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Run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Style w:val="VerbatimChar"/>
                <w:rFonts w:ascii="Calibri" w:hAnsi="Calibri"/>
                <w:sz w:val="16"/>
              </w:rPr>
              <w:t xml:space="preserve">31339674025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recorded 8 cases, 31 items, 234 field comparisons and 0 mismatches. UEQ-S was removed because repository/deployment permission was not established. Final main and the deployed commit must reproduce the result.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C4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AQP fails closed for the pre-specified unsupported or adversarial inputs and does not silently alter them into participant-ready questionnaires.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Negative outcome count: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number in each of refused-specific, refused-generic, accepted-documented-loss and silently-altered across 12 frozen adversarial inputs.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Silently altered = 0/12. Every accepted loss must be explicit and acknowledged; every refusal must produce no participant link/partial definition. Specific and generic refusals are reported separately.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Automated negative battery and row-level results table.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Evidenced in PR CI; final release verification pending.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Run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Style w:val="VerbatimChar"/>
                <w:rFonts w:ascii="Calibri" w:hAnsi="Calibri"/>
                <w:sz w:val="16"/>
              </w:rPr>
              <w:t xml:space="preserve">31339674025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recorded 10 specific refusals, 2 generic parse refusals, 0 accepted documented losses and 0 silently altered.</w:t>
            </w:r>
          </w:p>
        </w:tc>
      </w:tr>
    </w:tbl>
    <w:bookmarkStart w:id="20" w:name="active-claims-continued"/>
    <w:p>
      <w:pPr>
        <w:pStyle w:val="Heading2"/>
        <w:keepNext/>
        <w:keepLines/>
        <w:pageBreakBefore/>
        <w:spacing w:before="840"/>
      </w:pPr>
      <w:r>
        <w:rPr>
          <w:rFonts w:ascii="Calibri" w:hAnsi="Calibri"/>
        </w:rPr>
        <w:t xml:space="preserve">Active claims (continued)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648"/>
        <w:gridCol w:w="2376"/>
        <w:gridCol w:w="3168"/>
        <w:gridCol w:w="3024"/>
        <w:gridCol w:w="2088"/>
        <w:gridCol w:w="2808"/>
      </w:tblGrid>
      <w:tr>
        <w:trPr>
          <w:tblHeader w:val="true"/>
          <w:tblHeader w:val="true"/>
          <w:cantSplit/>
        </w:trPr>
        <w:tc>
          <w:tcPr>
            <w:vAlign w:val="top"/>
            <w:tcW w:type="dxa" w:w="64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ID</w:t>
            </w:r>
          </w:p>
        </w:tc>
        <w:tc>
          <w:tcPr>
            <w:vAlign w:val="top"/>
            <w:tcW w:type="dxa" w:w="23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Bounded claim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Metric and operational calculation</w:t>
            </w:r>
          </w:p>
        </w:tc>
        <w:tc>
          <w:tcPr>
            <w:vAlign w:val="top"/>
            <w:tcW w:type="dxa" w:w="30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Decision rule</w:t>
            </w:r>
          </w:p>
        </w:tc>
        <w:tc>
          <w:tcPr>
            <w:vAlign w:val="top"/>
            <w:tcW w:type="dxa" w:w="208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Evidence source</w:t>
            </w:r>
          </w:p>
        </w:tc>
        <w:tc>
          <w:tcPr>
            <w:vAlign w:val="top"/>
            <w:tcW w:type="dxa" w:w="28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Current evidence status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C5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The revised researcher setup can be evaluated formatively against a precisely matched Qualtrics setup condition for task success, time, assists, errors and perceived ease. This is an optional additional study, not required for the technical dissertation evaluation.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Per condition: valid task completions ÷ assigned tasks; active time; assists; predefined errors; discrepancy detection; post-task SEQ. Post-session SUS. Report each participant and median/range. Second coder independently codes at least two recordings; report event-level agreement.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 task succeeds only when the specified end state and all validity checks are met without critical error. Assistance and errors follow frozen definitions. Report descriptive results only; no significance test or general usability claim at n=6–8.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Preregistered observed-study protocol; recordings with consent; observer logs; independent-coder sheet; SEQ/SUS forms.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Not evidenced.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No sessions may run without amendment approval. If approval/timing does not permit, retain the fully specified protocol as planned work and keep C5 Not evidenced.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C7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Each result record is bound to the questionnaire definition used for its configuration, and the definition, final response set and score can be reconstructed and checked from the export alone.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Hash verification: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matching canonical SHA-256 in configuration, recomputed loaded definition and submitted result ÷ tested cases; Version 4 configurations and result records with a missing or mismatched fingerprint rejected ÷ tamper cases.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Reconstruction: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fully reconstructed exports with 0 definition/response/score mismatches ÷ all fidelity cases.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Hash agreement 100%; every missing or mismatched Version 4 configuration/result fingerprint is rejected and cannot show or restore success. Reconstruction 8/8 with 0 mismatches; every export contains the complete definition, scorer and responses needed without repository lookup. This unsigned fingerprint establishes internal consistency, not authenticated authorship.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Configuration/result schema tests; missing-hash and stale-hash tampered-link/result tests; submission-block test; export reconstruction report.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Evidenced in PR CI; final release verification pending.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Run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Style w:val="VerbatimChar"/>
                <w:rFonts w:ascii="Calibri" w:hAnsi="Calibri"/>
                <w:sz w:val="16"/>
              </w:rPr>
              <w:t xml:space="preserve">31339674025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passed stale-hash and delete-the-hash configuration/result tests and reconstructed 8/8 exports and 31/31 item responses with 0 mismatches. Final main and the deployed commit must reproduce the result.</w:t>
            </w:r>
          </w:p>
        </w:tc>
      </w:tr>
    </w:tbl>
    <w:bookmarkEnd w:id="20"/>
    <w:bookmarkStart w:id="21" w:name="removed-row"/>
    <w:p>
      <w:pPr>
        <w:pStyle w:val="Heading2"/>
        <w:keepNext/>
        <w:keepLines/>
      </w:pPr>
      <w:r>
        <w:rPr>
          <w:rFonts w:ascii="Calibri" w:hAnsi="Calibri"/>
        </w:rPr>
        <w:t xml:space="preserve">Removed row</w:t>
      </w:r>
    </w:p>
    <w:p>
      <w:pPr>
        <w:pStyle w:val="FirstParagraph"/>
      </w:pPr>
      <w:r>
        <w:rPr>
          <w:bCs/>
          <w:rFonts w:ascii="Calibri" w:hAnsi="Calibri"/>
          <w:b/>
        </w:rPr>
        <w:t xml:space="preserve">C6 (AQP versus matched Qualtrics participant accessibility comparison) is</w:t>
      </w:r>
      <w:r>
        <w:rPr>
          <w:bCs/>
          <w:rFonts w:ascii="Calibri" w:hAnsi="Calibri"/>
          <w:b/>
        </w:rPr>
        <w:t xml:space="preserve"> </w:t>
      </w:r>
      <w:r>
        <w:rPr>
          <w:bCs/>
          <w:rFonts w:ascii="Calibri" w:hAnsi="Calibri"/>
          <w:b/>
        </w:rPr>
        <w:t xml:space="preserve">removed.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withdrawn design confounded presentation structure and did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provide interpretable mechanism-level or score-equivalence evidence. It is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retained as an unevidenced active claim.</w:t>
      </w:r>
    </w:p>
    <w:bookmarkEnd w:id="21"/>
    <w:bookmarkEnd w:id="22"/>
    <w:sectPr>
      <w:headerReference w:type="default" r:id="rId9"/>
      <w:footerReference w:type="default" r:id="rId10"/>
      <w:headerReference w:type="even" r:id="rId11"/>
      <w:footerReference w:type="even" r:id="rId12"/>
      <w:pgSz w:orient="landscape" w:w="15840" w:h="12240"/>
      <w:pgMar w:top="1008" w:bottom="1008" w:left="864" w:right="864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AQP evaluation matrix v6</dc:title>
  <dc:creator>Yurui Wang</dc:creator>
  <cp:keywords>AQP, evaluation, accessibility, questionnaire</cp:keywords>
  <dcterms:created xsi:type="dcterms:W3CDTF">2026-08-09T22:39:03Z</dcterms:created>
  <dcterms:modified xsi:type="dcterms:W3CDTF">2026-08-09T22:39:03Z</dcterms:modified>
  <dc:subject>Version 6.1 | 10 August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