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qp-final-contribution-statement-v2"/>
    <w:p>
      <w:pPr>
        <w:pStyle w:val="Heading1"/>
        <w:keepNext/>
        <w:keepLines/>
        <w:spacing w:before="160" w:after="80"/>
      </w:pPr>
      <w:r>
        <w:rPr>
          <w:rFonts w:ascii="Calibri" w:hAnsi="Calibri"/>
          <w:b/>
          <w:color w:val="000000"/>
          <w:sz w:val="46"/>
        </w:rPr>
        <w:t xml:space="preserve">AQP final contribution statement v2</w:t>
      </w:r>
    </w:p>
    <w:p>
      <w:pPr>
        <w:pStyle w:val="FirstParagraph"/>
      </w:pPr>
      <w:r>
        <w:rPr>
          <w:rFonts w:ascii="Calibri" w:hAnsi="Calibri"/>
          <w:color w:val="59636E"/>
          <w:sz w:val="20"/>
        </w:rPr>
        <w:t xml:space="preserve">Status: aligned with evaluation matrix v6 and the technical-evaluation route</w:t>
      </w:r>
      <w:r>
        <w:rPr>
          <w:rFonts w:ascii="Calibri" w:hAnsi="Calibri"/>
          <w:color w:val="59636E"/>
          <w:sz w:val="20"/>
        </w:rPr>
        <w:t xml:space="preserve"> </w:t>
      </w:r>
      <w:r>
        <w:rPr>
          <w:rFonts w:ascii="Calibri" w:hAnsi="Calibri"/>
          <w:color w:val="59636E"/>
          <w:sz w:val="20"/>
        </w:rPr>
        <w:t xml:space="preserve">Date: 2026-08-10</w:t>
      </w:r>
    </w:p>
    <w:bookmarkStart w:id="20" w:name="locked-contribution-statement"/>
    <w:p>
      <w:pPr>
        <w:pStyle w:val="Heading2"/>
        <w:keepNext/>
        <w:keepLines/>
      </w:pPr>
      <w:r>
        <w:rPr>
          <w:rFonts w:ascii="Calibri" w:hAnsi="Calibri"/>
        </w:rPr>
        <w:t xml:space="preserve">Locked contribution statement</w:t>
      </w:r>
    </w:p>
    <w:p>
      <w:pPr>
        <w:pStyle w:val="FirstParagraph"/>
      </w:pPr>
      <w:r>
        <w:rPr>
          <w:rFonts w:ascii="Calibri" w:hAnsi="Calibri"/>
        </w:rPr>
        <w:t xml:space="preserve">This dissertation contributes and evaluates a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bounded questionnaire</w:t>
      </w:r>
      <w:r>
        <w:rPr>
          <w:bCs/>
          <w:rFonts w:ascii="Calibri" w:hAnsi="Calibri"/>
          <w:b/>
        </w:rPr>
        <w:t xml:space="preserve"> </w:t>
      </w:r>
      <w:r>
        <w:rPr>
          <w:bCs/>
          <w:rFonts w:ascii="Calibri" w:hAnsi="Calibri"/>
          <w:b/>
        </w:rPr>
        <w:t xml:space="preserve">administration pipeline that makes measurement integrity inspectable from study</w:t>
      </w:r>
      <w:r>
        <w:rPr>
          <w:bCs/>
          <w:rFonts w:ascii="Calibri" w:hAnsi="Calibri"/>
          <w:b/>
        </w:rPr>
        <w:t xml:space="preserve"> </w:t>
      </w:r>
      <w:r>
        <w:rPr>
          <w:bCs/>
          <w:rFonts w:ascii="Calibri" w:hAnsi="Calibri"/>
          <w:b/>
        </w:rPr>
        <w:t xml:space="preserve">configuration to result export</w:t>
      </w:r>
      <w:r>
        <w:rPr>
          <w:rFonts w:ascii="Calibri" w:hAnsi="Calibri"/>
        </w:rPr>
        <w:t xml:space="preserve">. It combines a versioned definition contract,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fail-closed import boundaries, a canonical definition fingerprint and a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self-contained provenance record. The evaluation tests these properties with an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independent-oracle round trip, a pre-specified negative battery and export-only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reconstruction, rather than inferring them from interface completion.</w:t>
      </w:r>
    </w:p>
    <w:bookmarkEnd w:id="20"/>
    <w:bookmarkStart w:id="24" w:name="contributions"/>
    <w:p>
      <w:pPr>
        <w:pStyle w:val="Heading2"/>
        <w:keepNext/>
        <w:keepLines/>
      </w:pPr>
      <w:r>
        <w:rPr>
          <w:rFonts w:ascii="Calibri" w:hAnsi="Calibri"/>
        </w:rPr>
        <w:t xml:space="preserve">Contributions</w:t>
      </w:r>
    </w:p>
    <w:bookmarkStart w:id="21" w:name="X4d0e51dfc572cc6e58d6527b362ec52eafbd1e9"/>
    <w:p>
      <w:pPr>
        <w:pStyle w:val="Heading3"/>
        <w:keepNext/>
        <w:keepLines/>
      </w:pPr>
      <w:r>
        <w:rPr>
          <w:rFonts w:ascii="Calibri" w:hAnsi="Calibri"/>
        </w:rPr>
        <w:t xml:space="preserve">1. Checkable measurement identity and provenance</w:t>
      </w:r>
    </w:p>
    <w:p>
      <w:pPr>
        <w:pStyle w:val="FirstParagraph"/>
      </w:pPr>
      <w:r>
        <w:rPr>
          <w:rFonts w:ascii="Calibri" w:hAnsi="Calibri"/>
        </w:rPr>
        <w:t xml:space="preserve">The same canonical SHA-256 definition fingerprint is carried by the generated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configuration and completed result and is recomputed at load and submission. Every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result embeds the complete versioned definition, scorer identity, final values,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input routes and support state. An export can therefore be reconstructed 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diffed without relying on the later state of the repository.</w:t>
      </w:r>
    </w:p>
    <w:p>
      <w:pPr>
        <w:pStyle w:val="BodyText"/>
      </w:pPr>
      <w:r>
        <w:rPr>
          <w:rFonts w:ascii="Calibri" w:hAnsi="Calibri"/>
        </w:rPr>
        <w:t xml:space="preserve">This fingerprint establishes internal consistency and a checkable definition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identity; it is not a digital signature or proof of researcher origin. Because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configuration fragment is unsigned, a person who replaces both a definition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and its recomputed fingerprint can create a different self-consistent link.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Authenticated study authorship would require a signature or trusted registry 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is outside the present contribution.</w:t>
      </w:r>
    </w:p>
    <w:p>
      <w:pPr>
        <w:pStyle w:val="BodyText"/>
      </w:pPr>
      <w:r>
        <w:rPr>
          <w:rFonts w:ascii="Calibri" w:hAnsi="Calibri"/>
        </w:rPr>
        <w:t xml:space="preserve">The contribution is the checkable chain, not merely that the software stores a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JSON object. It can be falsified by a missing or mismatched Version 4 fingerprint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that does not block loading/submission/restoration, a missing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definition/scorer/response, or an export that cannot reproduce the result.</w:t>
      </w:r>
    </w:p>
    <w:bookmarkEnd w:id="21"/>
    <w:bookmarkStart w:id="22" w:name="X3f779ccf4a668c0f7da001cb9eb9cbf4248b50b"/>
    <w:p>
      <w:pPr>
        <w:pStyle w:val="Heading3"/>
        <w:keepNext/>
        <w:keepLines/>
      </w:pPr>
      <w:r>
        <w:rPr>
          <w:rFonts w:ascii="Calibri" w:hAnsi="Calibri"/>
        </w:rPr>
        <w:t xml:space="preserve">2. Quantified fail-closed fidelity boundary</w:t>
      </w:r>
    </w:p>
    <w:p>
      <w:pPr>
        <w:pStyle w:val="FirstParagraph"/>
      </w:pPr>
      <w:r>
        <w:rPr>
          <w:rFonts w:ascii="Calibri" w:hAnsi="Calibri"/>
        </w:rPr>
        <w:t xml:space="preserve">AQP converts only the documented shared integer, single-choice profile and runs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only allowlisted executable scorers. Supported QSF/LSS/LSG/LSQ content is compared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programmatically with an independent source-of-truth sheet. Unsupported logic,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question types, scales, scoring or executable fields are refused rather than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silently approximated.</w:t>
      </w:r>
    </w:p>
    <w:p>
      <w:pPr>
        <w:pStyle w:val="BodyText"/>
      </w:pPr>
      <w:r>
        <w:rPr>
          <w:rFonts w:ascii="Calibri" w:hAnsi="Calibri"/>
        </w:rPr>
        <w:t xml:space="preserve">The boundary is a substantive part of the contribution: a definition file alone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cannot introduce a new scoring rule or mixed response structure. Those changes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require reviewed executable scoring and validation code. Therefore the system is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definition-driven within a declared boundary, not questionnaire-independent.</w:t>
      </w:r>
    </w:p>
    <w:bookmarkEnd w:id="22"/>
    <w:bookmarkStart w:id="23" w:name="Xbcd71e8c68e19101e3822e0776bd75a7be0db44"/>
    <w:p>
      <w:pPr>
        <w:pStyle w:val="Heading3"/>
        <w:keepNext/>
        <w:keepLines/>
      </w:pPr>
      <w:r>
        <w:rPr>
          <w:rFonts w:ascii="Calibri" w:hAnsi="Calibri"/>
        </w:rPr>
        <w:t xml:space="preserve">3. Reproducible, bounded accessibility engineering evidence</w:t>
      </w:r>
    </w:p>
    <w:p>
      <w:pPr>
        <w:pStyle w:val="FirstParagraph"/>
      </w:pPr>
      <w:r>
        <w:rPr>
          <w:rFonts w:ascii="Calibri" w:hAnsi="Calibri"/>
        </w:rPr>
        <w:t xml:space="preserve">The participant runner provides semantic single-item administration, direct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per-item review correction, saved-progress recovery, explicit errors 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confirmed voice proposals. These are implemented features, not by themselves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evidence of benefit. The contribution is accompanied by reproducible real-browser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checks across pre-specified states, widths and zoom, a cross-browser capability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matrix, and a versioned manual audit that records exact NVDA, VoiceOver 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OS-voice-control observations per WCAG criterion.</w:t>
      </w:r>
    </w:p>
    <w:p>
      <w:pPr>
        <w:pStyle w:val="BodyText"/>
      </w:pPr>
      <w:r>
        <w:rPr>
          <w:rFonts w:ascii="Calibri" w:hAnsi="Calibri"/>
        </w:rPr>
        <w:t xml:space="preserve">Until the manual audit is executed, this part remains partially unevidenced. Even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after it is completed, it supports only a technical claim for named configurations,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not that disabled users benefit or that AQP is generally more accessible.</w:t>
      </w:r>
    </w:p>
    <w:bookmarkEnd w:id="23"/>
    <w:bookmarkEnd w:id="24"/>
    <w:bookmarkStart w:id="25" w:name="what-is-not-a-contribution"/>
    <w:p>
      <w:pPr>
        <w:pStyle w:val="Heading2"/>
        <w:keepNext/>
        <w:keepLines/>
      </w:pPr>
      <w:r>
        <w:rPr>
          <w:rFonts w:ascii="Calibri" w:hAnsi="Calibri"/>
        </w:rPr>
        <w:t xml:space="preserve">What is not a contribution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Splitting the researcher page into six or ten screens is an implementation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change. Its source-change invalidation and separate fidelity checkpoints support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safe setup, but the number of screens is not a research contribution.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Loading definitions as data is a common platform pattern. Novelty is not claimed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for JSON configuration, save/resume, QSF/LimeSurvey import or a questionnaire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runner in isolation.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The withdrawn AQP–Qualtrics respondent comparison provides no evidence and is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not retained as an active contribution.</w:t>
      </w:r>
    </w:p>
    <w:p>
      <w:pPr>
        <w:numPr>
          <w:ilvl w:val="0"/>
          <w:numId w:val="1001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The current work does not establish score equivalence across presentation modes,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psychometric validity, general usability, questionnaire independence, universal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accessibility or benefit for disabled users.</w:t>
      </w:r>
    </w:p>
    <w:bookmarkEnd w:id="25"/>
    <w:bookmarkStart w:id="26" w:name="current-quantified-evidence"/>
    <w:p>
      <w:pPr>
        <w:pStyle w:val="Heading2"/>
        <w:keepNext/>
        <w:keepLines/>
      </w:pPr>
      <w:r>
        <w:rPr>
          <w:rFonts w:ascii="Calibri" w:hAnsi="Calibri"/>
        </w:rPr>
        <w:t xml:space="preserve">Current quantified evidence</w:t>
      </w:r>
    </w:p>
    <w:p>
      <w:pPr>
        <w:pStyle w:val="FirstParagraph"/>
      </w:pPr>
      <w:r>
        <w:rPr>
          <w:rFonts w:ascii="Calibri" w:hAnsi="Calibri"/>
        </w:rPr>
        <w:t xml:space="preserve">Current correction-candidate results are: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8 distributable built-in/import cases, 31 items and 234 independent-oracle field comparisons,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with 0 mismatches;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12 adversarial inputs, with 0 silently altered;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8/8 result exports and 31/31 item responses reconstructed, with 0 mismatches; and</w:t>
      </w:r>
    </w:p>
    <w:p>
      <w:pPr>
        <w:numPr>
          <w:ilvl w:val="0"/>
          <w:numId w:val="1002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missing-fingerprint and stale-fingerprint configuration tampering rejected.</w:t>
      </w:r>
    </w:p>
    <w:p>
      <w:pPr>
        <w:pStyle w:val="FirstParagraph"/>
      </w:pPr>
      <w:r>
        <w:rPr>
          <w:rFonts w:ascii="Calibri" w:hAnsi="Calibri"/>
        </w:rPr>
        <w:t xml:space="preserve">PR CI run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31339674025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reproduced these technical counts and produced 60/60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rendered-browser state/profile scans for the correction candidate, with 0 reported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axe violations, incomplete checks, overflow failures, target-size failures or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missing states. These are pull-request results, not final-main or deployed-release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evidence. The manual assistive-technology audit remains NT and must be reported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separately.</w:t>
      </w:r>
    </w:p>
    <w:bookmarkEnd w:id="26"/>
    <w:bookmarkStart w:id="27" w:name="dissertation-claim-boundary"/>
    <w:p>
      <w:pPr>
        <w:pStyle w:val="Heading2"/>
        <w:keepNext/>
        <w:keepLines/>
      </w:pPr>
      <w:r>
        <w:rPr>
          <w:rFonts w:ascii="Calibri" w:hAnsi="Calibri"/>
        </w:rPr>
        <w:t xml:space="preserve">Dissertation claim boundary</w:t>
      </w:r>
    </w:p>
    <w:p>
      <w:pPr>
        <w:pStyle w:val="FirstParagraph"/>
      </w:pPr>
      <w:r>
        <w:rPr>
          <w:rFonts w:ascii="Calibri" w:hAnsi="Calibri"/>
        </w:rPr>
        <w:t xml:space="preserve">The dissertation may claim: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bounded definition-driven reuse for the implemented response/scorer profile;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exact fidelity and fail-closed behaviour for the named tested cases;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checkable definition identity and self-contained export reconstruction; and</w:t>
      </w:r>
    </w:p>
    <w:p>
      <w:pPr>
        <w:numPr>
          <w:ilvl w:val="0"/>
          <w:numId w:val="1003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automated/manual technical accessibility findings for named states and exact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browser/assistive-technology configurations, after those audits are executed.</w:t>
      </w:r>
    </w:p>
    <w:p>
      <w:pPr>
        <w:pStyle w:val="FirstParagraph"/>
      </w:pPr>
      <w:r>
        <w:rPr>
          <w:rFonts w:ascii="Calibri" w:hAnsi="Calibri"/>
        </w:rPr>
        <w:t xml:space="preserve">It must not claim: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questionnaire independence or arbitrary plug-in scoring;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psychometric or score equivalence between sequential and standard presentation;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that AQP is generally accessible, more accessible than Qualtrics, or beneficial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to disabled users; or</w:t>
      </w:r>
    </w:p>
    <w:p>
      <w:pPr>
        <w:numPr>
          <w:ilvl w:val="0"/>
          <w:numId w:val="1004"/>
        </w:numPr>
        <w:pStyle w:val="Compact"/>
        <w:spacing w:after="160" w:line="280" w:lineRule="auto"/>
        <w:ind w:left="720" w:hanging="360"/>
      </w:pPr>
      <w:r>
        <w:rPr>
          <w:rFonts w:ascii="Calibri" w:hAnsi="Calibri"/>
        </w:rPr>
        <w:t xml:space="preserve">complete WCAG conformance from axe, Playwright or one manual auditor.</w:t>
      </w:r>
    </w:p>
    <w:bookmarkEnd w:id="27"/>
    <w:bookmarkEnd w:id="28"/>
    <w:sectPr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final contribution statement  |  Version 2.1 | 10 August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final contribution statement  |  Version 2.1 | 10 August 2026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20" w:line="240" w:lineRule="auto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 w:line="240" w:lineRule="auto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AQP final contribution statement v2</dc:title>
  <dc:creator>Yurui Wang</dc:creator>
  <cp:keywords>AQP, evaluation, accessibility, questionnaire</cp:keywords>
  <dcterms:created xsi:type="dcterms:W3CDTF">2026-08-09T22:39:03Z</dcterms:created>
  <dcterms:modified xsi:type="dcterms:W3CDTF">2026-08-09T22:39:03Z</dcterms:modified>
  <dc:subject>Version 2.1 | 10 August 2026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