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qp-evaluation-matrix-v6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AQP evaluation matrix v6</w:t>
      </w:r>
    </w:p>
    <w:p>
      <w:pPr>
        <w:pStyle w:val="FirstParagraph"/>
      </w:pPr>
      <w:r>
        <w:rPr>
          <w:rFonts w:ascii="Calibri" w:hAnsi="Calibri"/>
        </w:rPr>
        <w:t xml:space="preserve">Version: 6.1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Revised: 2026-08-10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Status rule: only evidence tied to the evaluated release is marked Evidenced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648"/>
        <w:gridCol w:w="2376"/>
        <w:gridCol w:w="3168"/>
        <w:gridCol w:w="3024"/>
        <w:gridCol w:w="2088"/>
        <w:gridCol w:w="2808"/>
      </w:tblGrid>
      <w:tr>
        <w:trPr>
          <w:tblHeader w:val="true"/>
          <w:tblHeader w:val="true"/>
          <w:cantSplit/>
        </w:trPr>
        <w:tc>
          <w:tcPr>
            <w:vAlign w:val="top"/>
            <w:tcW w:type="dxa" w:w="64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ID</w:t>
            </w:r>
          </w:p>
        </w:tc>
        <w:tc>
          <w:tcPr>
            <w:vAlign w:val="top"/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Bounded claim</w:t>
            </w:r>
          </w:p>
        </w:tc>
        <w:tc>
          <w:tcPr>
            <w:vAlign w:val="top"/>
            <w:tcW w:type="dxa" w:w="31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Metric and operational calculation</w:t>
            </w:r>
          </w:p>
        </w:tc>
        <w:tc>
          <w:tcPr>
            <w:vAlign w:val="top"/>
            <w:tcW w:type="dxa" w:w="302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Decision rule</w:t>
            </w:r>
          </w:p>
        </w:tc>
        <w:tc>
          <w:tcPr>
            <w:vAlign w:val="top"/>
            <w:tcW w:type="dxa" w:w="208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Evidence source</w:t>
            </w:r>
          </w:p>
        </w:tc>
        <w:tc>
          <w:tcPr>
            <w:vAlign w:val="top"/>
            <w:tcW w:type="dxa" w:w="28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Current evidence status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C1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AQP implements bounded definition-driven reuse: supported questionnaire content is loaded through a shared runner and workflow, while response structures, scorers and optional supports remain explicit executable boundaries. It is not questionnaire-independent.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Compatible-definition isolation: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production files changed outside definition/registration for a compatible definition ÷ all changed production files.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bCs/>
                <w:rFonts w:ascii="Calibri" w:hAnsi="Calibri"/>
                <w:b/>
                <w:sz w:val="16"/>
              </w:rPr>
              <w:t xml:space="preserve">Shared contract reuse: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common runner/recovery/result tests executed unchanged across at least two definitions ÷ frozen common contracts.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bCs/>
                <w:rFonts w:ascii="Calibri" w:hAnsi="Calibri"/>
                <w:b/>
                <w:sz w:val="16"/>
              </w:rPr>
              <w:t xml:space="preserve">Allowlist correctness: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observed support state matching each definition declaration ÷ checked definition × support × state combinations.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Isolation is 0% outside definition/registration for a compatible definition; 100% of eligible common contracts are reused; allowlist agreement is 100%. A new scorer or response structure is reported as executable boundary extension, not a data-only platform pass.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Architecture/contract tests; allowlist tests; change manifest for a compatible fixture.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Partially evidenced.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Shared mechanisms and gates are implemented and tested across current definitions, but a frozen change-manifest experiment and final per-metric counts must be published for the release. The broader “questionnaire-independent” claim is withdrawn.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C2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For the named release and configurations only, participant screens satisfy the pre-specified automated browser checks and manual technical assistive-technology checks. No benefit or usability claim for disabled users is made.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Rendered browser: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passed state/profile scans ÷ 60 required scans (12 states × 5 profiles), with axe violations, incomplete checks, overflow and target size reported.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bCs/>
                <w:rFonts w:ascii="Calibri" w:hAnsi="Calibri"/>
                <w:b/>
                <w:sz w:val="16"/>
              </w:rPr>
              <w:t xml:space="preserve">Manual AT: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passed applicable route/check cells ÷ all applicable cells on NVDA/Firefox, NVDA/Chrome, VoiceOver/Safari and one OS voice-control route; report WCAG SC outcomes and exact dynamic announcements.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All 60 browser scans present; 0 automatically detected violations; 0 overflow failures; 0 critical target-size failures; incomplete axe checks listed. Manual audit has 0 NT cells, every applicable cell P/F, and no S3 failure in a technically supported route. A markup mechanism that is not usefully announced is F.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Playwright/axe JSON+HTML and trace artefact; cross-browser matrix; versioned manual AT audit.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Not evidenced overall.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The previous PR revision completed all 60 rendered-browser scans with 0 violations, incomplete checks, overflow failures or target-size failures. The current correction candidate replaces the third-party UEQ-S state with a synthetic semantic-differential state and requires a fresh CI run. All manual route cells remain NT, so the combined C2 decision rule is not met. No general accessibility or disabled-user benefit claim is available.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C3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Within the frozen support boundary, AQP preserves item content/order, response labels/stored values, required status, scoring identifier and reported score from source to rendered response and result.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Fidelity mismatch rate: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unequal expected/observed fields ÷ all independent-oracle comparisons, reported for every distributable built-in instrument and every QSF/LSS/LSG/LSQ fixture.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0 mismatches in every case. One missing, reordered, relabelled, revalued or differently scored field fails the release.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Hand-maintained source-of-truth JSON; programmatic production-path round trip; machine-readable report.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Evidenced locally for the correction candidate; release verification pending.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8 cases, 31 items, 234 field comparisons, 0 mismatches. UEQ-S was removed from the distributable inventory because repository/deployment permission was not established. The result must be reproduced for final main and the deployed commit.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C4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AQP fails closed for the pre-specified unsupported or adversarial inputs and does not silently alter them into participant-ready questionnaires.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Negative outcome count: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number in each of refused-specific, refused-generic, accepted-documented-loss and silently-altered across 12 frozen adversarial inputs.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Silently altered = 0/12. Every accepted loss must be explicit and acknowledged; every refusal must produce no participant link/partial definition. Specific and generic refusals are reported separately.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Automated negative battery and row-level results table.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Evidenced locally for the correction candidate; release verification pending.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10 specific refusals, 2 generic parse refusals, 0 accepted documented losses, 0 silently altered.</w:t>
            </w:r>
          </w:p>
        </w:tc>
      </w:tr>
    </w:tbl>
    <w:bookmarkStart w:id="20" w:name="active-claims-continued"/>
    <w:p>
      <w:pPr>
        <w:pStyle w:val="Heading2"/>
        <w:keepNext/>
        <w:keepLines/>
        <w:pageBreakBefore/>
        <w:spacing w:before="840"/>
      </w:pPr>
      <w:r>
        <w:rPr>
          <w:rFonts w:ascii="Calibri" w:hAnsi="Calibri"/>
        </w:rPr>
        <w:t xml:space="preserve">Active claims (continued)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648"/>
        <w:gridCol w:w="2376"/>
        <w:gridCol w:w="3168"/>
        <w:gridCol w:w="3024"/>
        <w:gridCol w:w="2088"/>
        <w:gridCol w:w="2808"/>
      </w:tblGrid>
      <w:tr>
        <w:trPr>
          <w:tblHeader w:val="true"/>
          <w:tblHeader w:val="true"/>
          <w:cantSplit/>
        </w:trPr>
        <w:tc>
          <w:tcPr>
            <w:vAlign w:val="top"/>
            <w:tcW w:type="dxa" w:w="64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ID</w:t>
            </w:r>
          </w:p>
        </w:tc>
        <w:tc>
          <w:tcPr>
            <w:vAlign w:val="top"/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Bounded claim</w:t>
            </w:r>
          </w:p>
        </w:tc>
        <w:tc>
          <w:tcPr>
            <w:vAlign w:val="top"/>
            <w:tcW w:type="dxa" w:w="31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Metric and operational calculation</w:t>
            </w:r>
          </w:p>
        </w:tc>
        <w:tc>
          <w:tcPr>
            <w:vAlign w:val="top"/>
            <w:tcW w:type="dxa" w:w="302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Decision rule</w:t>
            </w:r>
          </w:p>
        </w:tc>
        <w:tc>
          <w:tcPr>
            <w:vAlign w:val="top"/>
            <w:tcW w:type="dxa" w:w="208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Evidence source</w:t>
            </w:r>
          </w:p>
        </w:tc>
        <w:tc>
          <w:tcPr>
            <w:vAlign w:val="top"/>
            <w:tcW w:type="dxa" w:w="28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Current evidence status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C5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The revised researcher setup can be evaluated formatively against a precisely matched Qualtrics setup condition for task success, time, assists, errors and perceived ease. This is an optional additional study, not required for the technical dissertation evaluation.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Per condition: valid task completions ÷ assigned tasks; active time; assists; predefined errors; discrepancy detection; post-task SEQ. Post-session SUS. Report each participant and median/range. Second coder independently codes at least two recordings; report event-level agreement.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 task succeeds only when the specified end state and all validity checks are met without critical error. Assistance and errors follow frozen definitions. Report descriptive results only; no significance test or general usability claim at n=6–8.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Preregistered observed-study protocol; recordings with consent; observer logs; independent-coder sheet; SEQ/SUS forms.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Not evidenced.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No sessions may run without amendment approval. If approval/timing does not permit, retain the fully specified protocol as planned work and keep C5 Not evidenced.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C7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Each result record is bound to the questionnaire definition used for its configuration, and the definition, final response set and score can be reconstructed and checked from the export alone.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Hash verification: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matching canonical SHA-256 in configuration, recomputed loaded definition and submitted result ÷ tested cases; Version 4 configurations and result records with a missing or mismatched fingerprint rejected ÷ tamper cases.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bCs/>
                <w:rFonts w:ascii="Calibri" w:hAnsi="Calibri"/>
                <w:b/>
                <w:sz w:val="16"/>
              </w:rPr>
              <w:t xml:space="preserve">Reconstruction: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fully reconstructed exports with 0 definition/response/score mismatches ÷ all fidelity cases.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Hash agreement 100%; every missing or mismatched Version 4 configuration/result fingerprint is rejected and cannot show or restore success. Reconstruction 8/8 with 0 mismatches; every export contains the complete definition, scorer and responses needed without repository lookup. This unsigned fingerprint establishes internal consistency, not authenticated authorship.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Configuration/result schema tests; missing-hash and stale-hash tampered-link/result tests; submission-block test; export reconstruction report.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6"/>
              </w:rPr>
              <w:t xml:space="preserve">Evidenced locally for the correction candidate; release verification pending.</w:t>
            </w:r>
            <w:r>
              <w:rPr>
                <w:rFonts w:ascii="Calibri" w:hAnsi="Calibri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 xml:space="preserve">Stale-hash and delete-the-hash tamper paths are rejected for both configuration loading and Version 4 stored-result recovery; 8/8 exports and 31/31 item responses reconstructed with 0 mismatches. Must be reproduced for final main and the deployed commit.</w:t>
            </w:r>
          </w:p>
        </w:tc>
      </w:tr>
    </w:tbl>
    <w:bookmarkEnd w:id="20"/>
    <w:bookmarkStart w:id="21" w:name="removed-row"/>
    <w:p>
      <w:pPr>
        <w:pStyle w:val="Heading2"/>
        <w:keepNext/>
        <w:keepLines/>
      </w:pPr>
      <w:r>
        <w:rPr>
          <w:rFonts w:ascii="Calibri" w:hAnsi="Calibri"/>
        </w:rPr>
        <w:t xml:space="preserve">Removed row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C6 (AQP versus matched Qualtrics participant accessibility comparison) is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removed.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withdrawn design confounded presentation structure and did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provide interpretable mechanism-level or score-equivalence evidence. It is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retained as an unevidenced active claim.</w:t>
      </w:r>
    </w:p>
    <w:bookmarkEnd w:id="21"/>
    <w:bookmarkEnd w:id="22"/>
    <w:sectPr>
      <w:headerReference w:type="default" r:id="rId9"/>
      <w:footerReference w:type="default" r:id="rId10"/>
      <w:headerReference w:type="even" r:id="rId11"/>
      <w:footerReference w:type="even" r:id="rId12"/>
      <w:pgSz w:orient="landscape" w:w="15840" w:h="12240"/>
      <w:pgMar w:top="1008" w:bottom="1008" w:left="864" w:right="864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AQP evaluation matrix v6</dc:title>
  <dc:creator>Yurui Wang</dc:creator>
  <cp:keywords>AQP, evaluation, accessibility, questionnaire</cp:keywords>
  <dcterms:created xsi:type="dcterms:W3CDTF">2026-08-09T22:25:36Z</dcterms:created>
  <dcterms:modified xsi:type="dcterms:W3CDTF">2026-08-09T22:25:36Z</dcterms:modified>
  <dc:subject>Version 6.1 | 10 August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