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fcc9f769036f799cd1806195f5f2712be014bde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manual assistive-technology audit v1.0</w:t>
      </w:r>
    </w:p>
    <w:p>
      <w:pPr>
        <w:pStyle w:val="FirstParagraph"/>
      </w:pPr>
      <w:r>
        <w:rPr>
          <w:rFonts w:ascii="Calibri" w:hAnsi="Calibri"/>
          <w:color w:val="59636E"/>
          <w:sz w:val="20"/>
        </w:rPr>
        <w:t xml:space="preserve">Status: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bCs/>
          <w:rFonts w:ascii="Calibri" w:hAnsi="Calibri"/>
          <w:b/>
          <w:color w:val="59636E"/>
          <w:sz w:val="20"/>
        </w:rPr>
        <w:t xml:space="preserve">protocol ready; audit not yet executed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rFonts w:ascii="Calibri" w:hAnsi="Calibri"/>
          <w:color w:val="59636E"/>
          <w:sz w:val="20"/>
        </w:rPr>
        <w:t xml:space="preserve">Protocol frozen: 2026-08-09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rFonts w:ascii="Calibri" w:hAnsi="Calibri"/>
          <w:color w:val="59636E"/>
          <w:sz w:val="20"/>
        </w:rPr>
        <w:t xml:space="preserve">Release under test: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bCs/>
          <w:rFonts w:ascii="Calibri" w:hAnsi="Calibri"/>
          <w:b/>
          <w:color w:val="59636E"/>
          <w:sz w:val="20"/>
        </w:rPr>
        <w:t xml:space="preserve">record the immutable release tag and commit SHA before testing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rFonts w:ascii="Calibri" w:hAnsi="Calibri"/>
          <w:color w:val="59636E"/>
          <w:sz w:val="20"/>
        </w:rPr>
        <w:t xml:space="preserve">Deployed URL: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bCs/>
          <w:rFonts w:ascii="Calibri" w:hAnsi="Calibri"/>
          <w:b/>
          <w:color w:val="59636E"/>
          <w:sz w:val="20"/>
        </w:rPr>
        <w:t xml:space="preserve">record after the verified build is deployed</w:t>
      </w:r>
    </w:p>
    <w:bookmarkStart w:id="20" w:name="evidence-boundary"/>
    <w:p>
      <w:pPr>
        <w:pStyle w:val="Heading2"/>
        <w:keepNext/>
        <w:keepLines/>
      </w:pPr>
      <w:r>
        <w:rPr>
          <w:rFonts w:ascii="Calibri" w:hAnsi="Calibri"/>
        </w:rPr>
        <w:t xml:space="preserve">Evidence boundary</w:t>
      </w:r>
    </w:p>
    <w:p>
      <w:pPr>
        <w:pStyle w:val="FirstParagraph"/>
      </w:pPr>
      <w:r>
        <w:rPr>
          <w:rFonts w:ascii="Calibri" w:hAnsi="Calibri"/>
        </w:rPr>
        <w:t xml:space="preserve">This is a manual technical audit, not a study with disabled participants. It can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show what named browser and assistive-technology combinations expose on named AQP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screens. It cannot establish usability, benefit for disabled users, score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equivalence, universal accessibility or complete WCAG conformance.</w:t>
      </w:r>
    </w:p>
    <w:p>
      <w:pPr>
        <w:pStyle w:val="BodyText"/>
      </w:pPr>
      <w:r>
        <w:rPr>
          <w:rFonts w:ascii="Calibri" w:hAnsi="Calibri"/>
        </w:rPr>
        <w:t xml:space="preserve">An outcome is a pass only when the mechanism is usable in the tested route.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live region, label or focus call that exists in the markup but does not produce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timely, understandable announcement or operable control is a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fail</w:t>
      </w:r>
      <w:r>
        <w:rPr>
          <w:rFonts w:ascii="Calibri" w:hAnsi="Calibri"/>
        </w:rPr>
        <w:t xml:space="preserve">, not a pass.</w:t>
      </w:r>
    </w:p>
    <w:p>
      <w:pPr>
        <w:pStyle w:val="BodyText"/>
      </w:pPr>
      <w:r>
        <w:rPr>
          <w:rFonts w:ascii="Calibri" w:hAnsi="Calibri"/>
        </w:rPr>
        <w:t xml:space="preserve">Do not publish an empty cell as a pass. Until a required route has been run, mark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it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NT (not tested)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report the corresponding claim as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Not evidenced</w:t>
      </w:r>
      <w:r>
        <w:rPr>
          <w:rFonts w:ascii="Calibri" w:hAnsi="Calibri"/>
        </w:rPr>
        <w:t xml:space="preserve">.</w:t>
      </w:r>
    </w:p>
    <w:bookmarkEnd w:id="20"/>
    <w:bookmarkStart w:id="21" w:name="outcome-and-severity-codes"/>
    <w:p>
      <w:pPr>
        <w:pStyle w:val="Heading2"/>
        <w:keepNext/>
        <w:keepLines/>
      </w:pPr>
      <w:r>
        <w:rPr>
          <w:rFonts w:ascii="Calibri" w:hAnsi="Calibri"/>
        </w:rPr>
        <w:t xml:space="preserve">Outcome and severity codes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P — Pass: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expected information and operation are available without 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undocumented workaround.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F — Fail: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expected information or operation is missing, late,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misleading, duplicated to the point of being unusable, or cannot be operated.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NA — Not applicable: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criterion genuinely does not apply to the state 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route; give a reason.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NT — Not tested: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 observation exists. NT is never counted as a pass.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S1 minor: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noticeable inconvenience with an immediate safe route.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S2 major: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task can continue only after a substantial workaround or repeated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recovery.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S3 critical: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blocks completion, causes an unintended response, loses data,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or presents a false success.</w:t>
      </w:r>
    </w:p>
    <w:bookmarkEnd w:id="21"/>
    <w:bookmarkStart w:id="22" w:name="frozen-test-environments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Frozen test environments</w:t>
      </w:r>
    </w:p>
    <w:p>
      <w:pPr>
        <w:pStyle w:val="FirstParagraph"/>
      </w:pPr>
      <w:r>
        <w:rPr>
          <w:rFonts w:ascii="Calibri" w:hAnsi="Calibri"/>
        </w:rPr>
        <w:t xml:space="preserve">Record exact versions; do not substitute one engine as evidence for another.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526"/>
        <w:gridCol w:w="3051"/>
        <w:gridCol w:w="5340"/>
        <w:gridCol w:w="2670"/>
        <w:gridCol w:w="1525"/>
      </w:tblGrid>
      <w:tr>
        <w:trPr>
          <w:tblHeader w:val="true"/>
          <w:cantSplit/>
        </w:trPr>
        <w:tc>
          <w:tcPr>
            <w:vAlign w:val="top"/>
            <w:tcW w:type="dxa" w:w="152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Route ID</w:t>
            </w:r>
          </w:p>
        </w:tc>
        <w:tc>
          <w:tcPr>
            <w:vAlign w:val="top"/>
            <w:tcW w:type="dxa" w:w="305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combination</w:t>
            </w:r>
          </w:p>
        </w:tc>
        <w:tc>
          <w:tcPr>
            <w:vAlign w:val="top"/>
            <w:tcW w:type="dxa" w:w="534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Version and configuration</w:t>
            </w:r>
          </w:p>
        </w:tc>
        <w:tc>
          <w:tcPr>
            <w:vAlign w:val="top"/>
            <w:tcW w:type="dxa" w:w="267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Auditor/date</w:t>
            </w:r>
          </w:p>
        </w:tc>
        <w:tc>
          <w:tcPr>
            <w:vAlign w:val="top"/>
            <w:tcW w:type="dxa" w:w="152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52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R1</w:t>
            </w:r>
          </w:p>
        </w:tc>
        <w:tc>
          <w:tcPr>
            <w:tcW w:type="dxa" w:w="30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NVDA + Firefox on Windows</w:t>
            </w:r>
          </w:p>
        </w:tc>
        <w:tc>
          <w:tcPr>
            <w:tcW w:type="dxa" w:w="53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Windows: ___; NVDA: ___; Firefox: ___; NVDA speech/browse-mode settings: ___</w:t>
            </w:r>
          </w:p>
        </w:tc>
        <w:tc>
          <w:tcPr>
            <w:tcW w:type="dxa" w:w="26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___</w:t>
            </w:r>
          </w:p>
        </w:tc>
        <w:tc>
          <w:tcPr>
            <w:tcW w:type="dxa" w:w="152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52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R2</w:t>
            </w:r>
          </w:p>
        </w:tc>
        <w:tc>
          <w:tcPr>
            <w:tcW w:type="dxa" w:w="30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NVDA + Chrome on Windows</w:t>
            </w:r>
          </w:p>
        </w:tc>
        <w:tc>
          <w:tcPr>
            <w:tcW w:type="dxa" w:w="53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Windows: ___; NVDA: ___; Chrome: ___; NVDA speech/browse-mode settings: ___</w:t>
            </w:r>
          </w:p>
        </w:tc>
        <w:tc>
          <w:tcPr>
            <w:tcW w:type="dxa" w:w="26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___</w:t>
            </w:r>
          </w:p>
        </w:tc>
        <w:tc>
          <w:tcPr>
            <w:tcW w:type="dxa" w:w="152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52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R3</w:t>
            </w:r>
          </w:p>
        </w:tc>
        <w:tc>
          <w:tcPr>
            <w:tcW w:type="dxa" w:w="30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VoiceOver + Safari on macOS</w:t>
            </w:r>
          </w:p>
        </w:tc>
        <w:tc>
          <w:tcPr>
            <w:tcW w:type="dxa" w:w="53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macOS: ___; VoiceOver: ___; Safari: ___; Quick Nav/verbosity settings: ___</w:t>
            </w:r>
          </w:p>
        </w:tc>
        <w:tc>
          <w:tcPr>
            <w:tcW w:type="dxa" w:w="26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___</w:t>
            </w:r>
          </w:p>
        </w:tc>
        <w:tc>
          <w:tcPr>
            <w:tcW w:type="dxa" w:w="152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52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R4</w:t>
            </w:r>
          </w:p>
        </w:tc>
        <w:tc>
          <w:tcPr>
            <w:tcW w:type="dxa" w:w="30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One operating-system voice-control route</w:t>
            </w:r>
          </w:p>
        </w:tc>
        <w:tc>
          <w:tcPr>
            <w:tcW w:type="dxa" w:w="53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Product/version: ___; OS: ___; browser: ___; command-overlay settings: ___</w:t>
            </w:r>
          </w:p>
        </w:tc>
        <w:tc>
          <w:tcPr>
            <w:tcW w:type="dxa" w:w="26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___</w:t>
            </w:r>
          </w:p>
        </w:tc>
        <w:tc>
          <w:tcPr>
            <w:tcW w:type="dxa" w:w="152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Use a clean browser profile. Keep the same questionnaire definition, participant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code pattern and assigned answers across R1–R4. Browser extensions must be listed.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 not enter personal or research data.</w:t>
      </w:r>
    </w:p>
    <w:bookmarkEnd w:id="22"/>
    <w:bookmarkStart w:id="23" w:name="fixed-test-data"/>
    <w:p>
      <w:pPr>
        <w:pStyle w:val="Heading2"/>
        <w:keepNext/>
        <w:keepLines/>
      </w:pPr>
      <w:r>
        <w:rPr>
          <w:rFonts w:ascii="Calibri" w:hAnsi="Calibri"/>
        </w:rPr>
        <w:t xml:space="preserve">Fixed test data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SUS participant code: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AUDIT-SUS-[route]</w:t>
      </w:r>
      <w:r>
        <w:rPr>
          <w:rFonts w:ascii="Calibri" w:hAnsi="Calibri"/>
        </w:rPr>
        <w:t xml:space="preserve">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SUS answer vector: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5, 1, 4, 2, 3, 5, 1, 4, 2, 3</w:t>
      </w:r>
      <w:r>
        <w:rPr>
          <w:rFonts w:ascii="Calibri" w:hAnsi="Calibri"/>
        </w:rPr>
        <w:t xml:space="preserve">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Expected SUS score: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50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under Brooke's scoring rule, implemented by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configured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sus-standard-v1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scorer.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NASA-TLX pairwise case: six ratings of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50</w:t>
      </w:r>
      <w:r>
        <w:rPr>
          <w:rFonts w:ascii="Calibri" w:hAnsi="Calibri"/>
        </w:rPr>
        <w:t xml:space="preserve">, then inspect the first pair.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Recovery case: save exactly three of ten SUS answers, reload, and inspect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offer before resuming.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Voice proposal phrase: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number four</w:t>
      </w:r>
      <w:r>
        <w:rPr>
          <w:rFonts w:ascii="Calibri" w:hAnsi="Calibri"/>
        </w:rPr>
        <w:t xml:space="preserve">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Voice safety phrase: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not four</w:t>
      </w:r>
      <w:r>
        <w:rPr>
          <w:rFonts w:ascii="Calibri" w:hAnsi="Calibri"/>
        </w:rPr>
        <w:t xml:space="preserve">; the interface must not propose or record 4.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Imported label case: use the committed five-point German fixture with endpoint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labels and labelled middle options.</w:t>
      </w:r>
    </w:p>
    <w:bookmarkEnd w:id="23"/>
    <w:bookmarkStart w:id="24" w:name="how-to-record-evidence"/>
    <w:p>
      <w:pPr>
        <w:pStyle w:val="Heading2"/>
        <w:keepNext/>
        <w:keepLines/>
      </w:pPr>
      <w:r>
        <w:rPr>
          <w:rFonts w:ascii="Calibri" w:hAnsi="Calibri"/>
        </w:rPr>
        <w:t xml:space="preserve">How to record evidence</w:t>
      </w:r>
    </w:p>
    <w:p>
      <w:pPr>
        <w:pStyle w:val="FirstParagraph"/>
      </w:pPr>
      <w:r>
        <w:rPr>
          <w:rFonts w:ascii="Calibri" w:hAnsi="Calibri"/>
        </w:rPr>
        <w:t xml:space="preserve">For every required cell, record: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P, F or NA;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exact spoken announcement where the check concerns speech;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control or element that receives focus;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exact voice command and observed target for R4;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an evidence ID (</w:t>
      </w:r>
      <w:r>
        <w:rPr>
          <w:rStyle w:val="VerbatimChar"/>
          <w:rFonts w:ascii="Calibri" w:hAnsi="Calibri"/>
        </w:rPr>
        <w:t xml:space="preserve">R1-A06</w:t>
      </w:r>
      <w:r>
        <w:rPr>
          <w:rFonts w:ascii="Calibri" w:hAnsi="Calibri"/>
        </w:rPr>
        <w:t xml:space="preserve">, for example);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issue ID and severity for every failure.</w:t>
      </w:r>
    </w:p>
    <w:p>
      <w:pPr>
        <w:pStyle w:val="FirstParagraph"/>
      </w:pPr>
      <w:r>
        <w:rPr>
          <w:rFonts w:ascii="Calibri" w:hAnsi="Calibri"/>
        </w:rPr>
        <w:t xml:space="preserve">Quotes must be transcribed from the observed output, not copied from source code.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 unexpected silence as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[no announcement]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harmful repetition exactly.</w:t>
      </w:r>
    </w:p>
    <w:bookmarkEnd w:id="24"/>
    <w:bookmarkStart w:id="30" w:name="state-by-state-audit-record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State-by-state audit record</w:t>
      </w:r>
    </w:p>
    <w:p>
      <w:pPr>
        <w:pStyle w:val="FirstParagraph"/>
      </w:pPr>
      <w:r>
        <w:rPr>
          <w:rFonts w:ascii="Calibri" w:hAnsi="Calibri"/>
        </w:rPr>
        <w:t xml:space="preserve">Complete every route column with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P/F/NA — exact observation (evidence ID)</w:t>
      </w:r>
      <w:r>
        <w:rPr>
          <w:rFonts w:ascii="Calibri" w:hAnsi="Calibri"/>
        </w:rPr>
        <w:t xml:space="preserve">.</w:t>
      </w:r>
    </w:p>
    <w:bookmarkStart w:id="25" w:name="introduction-and-item-entry-a01a04"/>
    <w:p>
      <w:pPr>
        <w:pStyle w:val="Heading3"/>
        <w:keepNext/>
        <w:keepLines/>
      </w:pPr>
      <w:r>
        <w:rPr>
          <w:rFonts w:ascii="Calibri" w:hAnsi="Calibri"/>
        </w:rPr>
        <w:t xml:space="preserve">Introduction and item entry (A01–A04)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  <w:cantSplit/>
        </w:trPr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success criterion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Screen/state and fixed action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observable result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NVDA/Firefox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NVDA/Chrome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VoiceOver/Safari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OS voice control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A01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1.3.1, 1.3.2, 2.4.6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Open the participant introduction from its generated link.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One useful page heading, short task purpose, logical reading order and one Start action are exposed before optional detail.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3.3.2, 4.1.2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Inspect the participant-code field.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The link-supplied pseudonymous code is present, editable, labelled and not announced as invalid before Start.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Expand and collapse “Adjust accessibility support (optional)”.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Name, role and expanded state are exposed; the full audio-guidance panel occurs here once and is not repeated on item screens.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A04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1.3.1, 2.4.3, 2.4.6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Start SUS and arrive at item 1.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Focus moves to the item heading; item number/progress and complete item statement are announced once in a useful order.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</w:tbl>
    <w:bookmarkEnd w:id="25"/>
    <w:bookmarkStart w:id="26" w:name="Xfc598643eb0683f64ca117cd7bce4068c0db51c"/>
    <w:p>
      <w:pPr>
        <w:pStyle w:val="Heading3"/>
        <w:keepNext/>
        <w:keepLines/>
        <w:pageBreakBefore/>
        <w:spacing w:before="840"/>
      </w:pPr>
      <w:r>
        <w:rPr>
          <w:rFonts w:ascii="Calibri" w:hAnsi="Calibri"/>
        </w:rPr>
        <w:t xml:space="preserve">Item operation and voice availability (A05–A09)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  <w:cantSplit/>
        </w:trPr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success criterion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Screen/state and fixed action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observable result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NVDA/Firefox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NVDA/Chrome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VoiceOver/Safari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OS voice control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A05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1.3.1, 3.3.2, 4.1.2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Navigate all response options for item 1 without selecting.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One required radio group is exposed with its question, each option has its value and answer label, and arrow-key/state feedback is usable.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A06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2.4.3, 3.3.1, 3.3.3, 4.1.3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Activate Next with no answer.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“There is a problem” and the corrective message are announced; focus moves to a useful error location without requiring a search. Record exact speech.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A07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2.4.3, 3.2.2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Correct the error, choose 5 and activate Next.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Selection alone does not change screen; Next moves to item 2 and focus reaches its heading.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A08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1.3.1, 2.4.3, 4.1.2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 NASA-TLX ratings and enter the first pairwise comparison.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The comparison prompt, both named choices, checked state and progress are exposed as one operable group.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A09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3.3.2, 4.1.2, 4.1.3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Open built-in voice input on a rating screen.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Supported routes expose a labelled Start control and instructions; unsupported routes expose a clear unavailable state rather than a hidden or dead control.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</w:tbl>
    <w:bookmarkEnd w:id="26"/>
    <w:bookmarkStart w:id="27" w:name="voice-listening-and-safety-a10a13"/>
    <w:p>
      <w:pPr>
        <w:pStyle w:val="Heading3"/>
        <w:keepNext/>
        <w:keepLines/>
        <w:pageBreakBefore/>
        <w:spacing w:before="840"/>
      </w:pPr>
      <w:r>
        <w:rPr>
          <w:rFonts w:ascii="Calibri" w:hAnsi="Calibri"/>
        </w:rPr>
        <w:t xml:space="preserve">Voice listening and safety (A10–A13)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  <w:cantSplit/>
        </w:trPr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success criterion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Screen/state and fixed action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observable result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NVDA/Firefox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NVDA/Chrome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VoiceOver/Safari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OS voice control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A10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Start built-in voice recognition and wait without speaking.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Listening status is announced promptly and once; the interface remains cancellable. Record exact speech and delay.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 unless this route also uses built-in recognition: ___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A11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2.4.3, 3.3.3, 3.3.4, 4.1.3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Say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number four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 wait at the proposal.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The proposed value/label is announced, remains uncommitted and focus reaches a useful Confirm/Reject control.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 unless tested through built-in recognition: ___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3.3.4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First say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not four</w:t>
            </w:r>
            <w:r>
              <w:rPr>
                <w:rFonts w:ascii="Calibri" w:hAnsi="Calibri"/>
                <w:sz w:val="15"/>
              </w:rPr>
              <w:t xml:space="preserve">; then say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number four</w:t>
            </w:r>
            <w:r>
              <w:rPr>
                <w:rFonts w:ascii="Calibri" w:hAnsi="Calibri"/>
                <w:sz w:val="15"/>
              </w:rPr>
              <w:t xml:space="preserve">, reject the proposal, repeat it and confirm.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not four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must not propose or record 4. Reject leaves the stored answer unchanged; Confirm records only the stated proposal.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 unless tested through built-in recognition: ___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3.3.1, 3.3.3, 4.1.3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Trigger the no-speech/error state.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 specific error and safe next action are announced; no answer is committed.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 unless tested through built-in recognition: ___</w:t>
            </w:r>
          </w:p>
        </w:tc>
      </w:tr>
    </w:tbl>
    <w:bookmarkEnd w:id="27"/>
    <w:bookmarkStart w:id="28" w:name="recovery-review-and-submission-a14a18"/>
    <w:p>
      <w:pPr>
        <w:pStyle w:val="Heading3"/>
        <w:keepNext/>
        <w:keepLines/>
        <w:pageBreakBefore/>
        <w:spacing w:before="840"/>
      </w:pPr>
      <w:r>
        <w:rPr>
          <w:rFonts w:ascii="Calibri" w:hAnsi="Calibri"/>
        </w:rPr>
        <w:t xml:space="preserve">Recovery, review and submission (A14–A18)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  <w:cantSplit/>
        </w:trPr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success criterion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Screen/state and fixed action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observable result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NVDA/Firefox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NVDA/Chrome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VoiceOver/Safari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OS voice control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A14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After three SUS answers, reload and wait on the saved-progress offer.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Focus reaches Resume; the exact saved count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 of 10</w:t>
            </w:r>
            <w:r>
              <w:rPr>
                <w:rFonts w:ascii="Calibri" w:hAnsi="Calibri"/>
                <w:sz w:val="15"/>
              </w:rPr>
              <w:t xml:space="preserve">, Resume and Erase choices are available and announced. Record exact speech.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A15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2.4.3, 3.2.2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Resume the saved session.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The three answers remain; the logical next item and heading receive focus; no answer changes automatically.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A16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1.3.1, 2.4.6, 3.3.4, 4.1.2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Reach the SUS review screen and navigate each record.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Every record exposes the full item statement, selected value and visible answer label, plus a uniquely named Change control.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A17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2.4.3, 3.3.4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Change item 2 to 5 and save.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Change opens item 2 directly; saving returns to review; focus returns to item 2; its updated label is announced and other answers remain unchanged.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A18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3.3.4, 4.1.3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Submit the reviewed answers.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Completion and storage status are truthful and announced; a failure must not be presented as success.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</w:tbl>
    <w:bookmarkEnd w:id="28"/>
    <w:bookmarkStart w:id="29" w:name="X77858ba9d57e857875da5668b2c82b1ce5447fc"/>
    <w:p>
      <w:pPr>
        <w:pStyle w:val="Heading3"/>
        <w:keepNext/>
        <w:keepLines/>
        <w:pageBreakBefore/>
        <w:spacing w:before="840"/>
      </w:pPr>
      <w:r>
        <w:rPr>
          <w:rFonts w:ascii="Calibri" w:hAnsi="Calibri"/>
        </w:rPr>
        <w:t xml:space="preserve">Route-wide and imported-scale checks (A19–A23)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  <w:cantSplit/>
        </w:trPr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success criterion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Screen/state and fixed action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observable result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NVDA/Firefox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NVDA/Chrome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VoiceOver/Safari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OS voice control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A19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2.1.1, 2.1.2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Repeat the complete route using keyboard commands only.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All functions are reachable and escapable; no keyboard trap occurs in details, voice, recovery, review or completion states.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A20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2.4.7, 2.4.11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Inspect visible focus on every interactive control at 100% and 200% zoom.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Focus is visible and not fully obscured. Screen-reader routes still record the visual result separately.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A21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2.5.3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 R4, use the visible wording to activate Start, an answer, Next, Change, Save and Submit.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Each command reaches the intended single control; visible label text occurs in the accessible name. Record commands verbatim.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A22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1.4.10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At 320 CSS pixels and at 200% zoom, inspect introduction, item, pairwise, error, voice, recovery, review and completion.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Content reflows without two-dimensional scrolling for ordinary content; controls and announcements remain usable.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A23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Open the imported five-point German item.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Endpoint labels are announced through the legend and are not repeated visually inside endpoint options; the three distinct middle labels remain visible and exposed with their options.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</w:tbl>
    <w:bookmarkEnd w:id="29"/>
    <w:bookmarkEnd w:id="30"/>
    <w:bookmarkStart w:id="31" w:name="issue-log"/>
    <w:p>
      <w:pPr>
        <w:pStyle w:val="Heading2"/>
        <w:keepNext/>
        <w:keepLines/>
      </w:pPr>
      <w:r>
        <w:rPr>
          <w:rFonts w:ascii="Calibri" w:hAnsi="Calibri"/>
        </w:rPr>
        <w:t xml:space="preserve">Issue log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501"/>
        <w:gridCol w:w="1218"/>
        <w:gridCol w:w="2077"/>
        <w:gridCol w:w="3224"/>
        <w:gridCol w:w="2364"/>
        <w:gridCol w:w="2364"/>
        <w:gridCol w:w="2364"/>
      </w:tblGrid>
      <w:tr>
        <w:trPr>
          <w:tblHeader w:val="true"/>
          <w:cantSplit/>
        </w:trPr>
        <w:tc>
          <w:tcPr>
            <w:vAlign w:val="top"/>
            <w:tcW w:type="dxa" w:w="50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Issue ID</w:t>
            </w:r>
          </w:p>
        </w:tc>
        <w:tc>
          <w:tcPr>
            <w:vAlign w:val="top"/>
            <w:tcW w:type="dxa" w:w="121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Route/check</w:t>
            </w:r>
          </w:p>
        </w:tc>
        <w:tc>
          <w:tcPr>
            <w:vAlign w:val="top"/>
            <w:tcW w:type="dxa" w:w="2077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Observed result</w:t>
            </w:r>
          </w:p>
        </w:tc>
        <w:tc>
          <w:tcPr>
            <w:vAlign w:val="top"/>
            <w:tcW w:type="dxa" w:w="32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Expected result</w:t>
            </w:r>
          </w:p>
        </w:tc>
        <w:tc>
          <w:tcPr>
            <w:vAlign w:val="top"/>
            <w:tcW w:type="dxa" w:w="23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Severity</w:t>
            </w:r>
          </w:p>
        </w:tc>
        <w:tc>
          <w:tcPr>
            <w:vAlign w:val="top"/>
            <w:tcW w:type="dxa" w:w="23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Reproduction steps</w:t>
            </w:r>
          </w:p>
        </w:tc>
        <w:tc>
          <w:tcPr>
            <w:vAlign w:val="top"/>
            <w:tcW w:type="dxa" w:w="23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Resolution/re-test</w:t>
            </w:r>
          </w:p>
        </w:tc>
      </w:tr>
      <w:tr>
        <w:trPr>
          <w:cantSplit/>
        </w:trPr>
        <w:tc>
          <w:tcPr>
            <w:tcW w:type="dxa" w:w="5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121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207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32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23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23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23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</w:tr>
    </w:tbl>
    <w:bookmarkEnd w:id="31"/>
    <w:bookmarkStart w:id="34" w:name="wcag-result-summary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WCAG result summary</w:t>
      </w:r>
    </w:p>
    <w:p>
      <w:pPr>
        <w:pStyle w:val="FirstParagraph"/>
      </w:pPr>
      <w:r>
        <w:rPr>
          <w:rFonts w:ascii="Calibri" w:hAnsi="Calibri"/>
        </w:rPr>
        <w:t xml:space="preserve">Report criterion outcomes separately by route. A criterion is a pass for a route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only if every applicable check mapped to it passes. One failed applicable check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makes that route/criterion a fail. NT checks keep it Not evidenced.</w:t>
      </w:r>
    </w:p>
    <w:bookmarkStart w:id="32" w:name="X19e2421f03f4dcacfc7736eef09ccf8b7a32d2c"/>
    <w:p>
      <w:pPr>
        <w:pStyle w:val="Heading3"/>
        <w:keepNext/>
        <w:keepLines/>
      </w:pPr>
      <w:r>
        <w:rPr>
          <w:rFonts w:ascii="Calibri" w:hAnsi="Calibri"/>
        </w:rPr>
        <w:t xml:space="preserve">Structure, navigation and operation criteria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965"/>
        <w:gridCol w:w="1965"/>
        <w:gridCol w:w="1965"/>
        <w:gridCol w:w="1965"/>
        <w:gridCol w:w="1965"/>
        <w:gridCol w:w="4287"/>
      </w:tblGrid>
      <w:tr>
        <w:trPr>
          <w:tblHeader w:val="true"/>
          <w:cantSplit/>
        </w:trPr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SC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P/F/NA/NT</w:t>
            </w:r>
          </w:p>
        </w:tc>
        <w:tc>
          <w:tcPr>
            <w:vAlign w:val="top"/>
            <w:tcW w:type="dxa" w:w="4287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Evidence IDs and notes</w:t>
            </w: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 Info and Relationships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1.3.2 Meaningful Sequence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1.4.10 Reflow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2.1.1 Keyboard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2.1.2 No Keyboard Trap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 Focus Order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2.4.6 Headings and Labels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2.4.7 Focus Visible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2.4.11 Focus Not Obscured (Minimum)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2.5.3 Label in Name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</w:tbl>
    <w:bookmarkEnd w:id="32"/>
    <w:bookmarkStart w:id="33" w:name="input-error-and-status-criteria"/>
    <w:p>
      <w:pPr>
        <w:pStyle w:val="Heading3"/>
        <w:keepNext/>
        <w:keepLines/>
        <w:pageBreakBefore/>
        <w:spacing w:before="840"/>
      </w:pPr>
      <w:r>
        <w:rPr>
          <w:rFonts w:ascii="Calibri" w:hAnsi="Calibri"/>
        </w:rPr>
        <w:t xml:space="preserve">Input, error and status criteria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965"/>
        <w:gridCol w:w="1965"/>
        <w:gridCol w:w="1965"/>
        <w:gridCol w:w="1965"/>
        <w:gridCol w:w="1965"/>
        <w:gridCol w:w="4287"/>
      </w:tblGrid>
      <w:tr>
        <w:trPr>
          <w:tblHeader w:val="true"/>
          <w:cantSplit/>
        </w:trPr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SC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P/F/NA/NT</w:t>
            </w:r>
          </w:p>
        </w:tc>
        <w:tc>
          <w:tcPr>
            <w:vAlign w:val="top"/>
            <w:tcW w:type="dxa" w:w="4287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Evidence IDs and notes</w:t>
            </w: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3.2.2 On Input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3.3.1 Error Identification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3.3.2 Labels or Instructions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3.3.3 Error Suggestion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3.3.4 Error Prevention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4.1.2 Name, Role, Value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4.1.3 Status Messages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</w:tbl>
    <w:bookmarkEnd w:id="33"/>
    <w:bookmarkEnd w:id="34"/>
    <w:bookmarkStart w:id="35" w:name="quantified-audit-summary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Quantified audit summary</w:t>
      </w:r>
    </w:p>
    <w:p>
      <w:pPr>
        <w:pStyle w:val="FirstParagraph"/>
      </w:pPr>
      <w:r>
        <w:rPr>
          <w:rFonts w:ascii="Calibri" w:hAnsi="Calibri"/>
        </w:rPr>
        <w:t xml:space="preserve">Complete only after every required cell has P, F or NA.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Required route/check cells: ___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Passed: ___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Failed: ___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Not applicable with reasons: ___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Not tested: ___ (must be zero before calling the audit complete)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WCAG route/criterion passes: ___ / ___ applicable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S1 issues: ___; S2 issues: ___; S3 issues: ___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Markup mechanisms present but unusable in actual announcement/operation: ___</w:t>
      </w:r>
    </w:p>
    <w:bookmarkEnd w:id="35"/>
    <w:bookmarkStart w:id="36" w:name="publication-wording"/>
    <w:p>
      <w:pPr>
        <w:pStyle w:val="Heading2"/>
        <w:keepNext/>
        <w:keepLines/>
      </w:pPr>
      <w:r>
        <w:rPr>
          <w:rFonts w:ascii="Calibri" w:hAnsi="Calibri"/>
        </w:rPr>
        <w:t xml:space="preserve">Publication wording</w:t>
      </w:r>
    </w:p>
    <w:p>
      <w:pPr>
        <w:pStyle w:val="FirstParagraph"/>
      </w:pPr>
      <w:r>
        <w:rPr>
          <w:rFonts w:ascii="Calibri" w:hAnsi="Calibri"/>
        </w:rPr>
        <w:t xml:space="preserve">Use only after replacing the brackets with observed counts: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A manual technical audit covered [N] pre-specified state checks across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NVDA/Firefox, NVDA/Chrome, VoiceOver/Safari and [OS voice-control route].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Results were reported per WCAG 2.2 success criterion as pass, fail or not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applicable, with exact announcements for dynamic states. [N/N] applicable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route/check cells passed and [N] failed. This is technical conformance evidence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for the named configurations, not evidence of benefit or usability for disabled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users.</w:t>
      </w:r>
    </w:p>
    <w:bookmarkEnd w:id="36"/>
    <w:bookmarkStart w:id="39" w:name="normative-reference"/>
    <w:p>
      <w:pPr>
        <w:pStyle w:val="Heading2"/>
        <w:keepNext/>
        <w:keepLines/>
      </w:pPr>
      <w:r>
        <w:rPr>
          <w:rFonts w:ascii="Calibri" w:hAnsi="Calibri"/>
        </w:rPr>
        <w:t xml:space="preserve">Normative reference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hyperlink r:id="rId37">
        <w:r>
          <w:rPr>
            <w:rStyle w:val="Hyperlink"/>
          </w:rPr>
          <w:t xml:space="preserve">W3C,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Web Content Accessibility Guidelines (WCAG) 2.2</w:t>
        </w:r>
      </w:hyperlink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hyperlink r:id="rId38">
        <w:r>
          <w:rPr>
            <w:rStyle w:val="Hyperlink"/>
          </w:rPr>
          <w:t xml:space="preserve">W3C,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How to Meet WCAG 2.2 (Quick Reference)</w:t>
        </w:r>
      </w:hyperlink>
    </w:p>
    <w:bookmarkEnd w:id="39"/>
    <w:bookmarkEnd w:id="40"/>
    <w:sectPr>
      <w:headerReference w:type="default" r:id="rId9"/>
      <w:footerReference w:type="default" r:id="rId10"/>
      <w:headerReference w:type="even" r:id="rId11"/>
      <w:footerReference w:type="even" r:id="rId12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7" Type="http://schemas.openxmlformats.org/officeDocument/2006/relationships/hyperlink" Target="https://www.w3.org/TR/WCAG22/" TargetMode="External"/><Relationship Id="rId38" Type="http://schemas.openxmlformats.org/officeDocument/2006/relationships/hyperlink" Target="https://www.w3.org/WAI/WCAG22/quickref/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www.w3.org/TR/WCAG22/" TargetMode="External"/><Relationship Id="rId38" Type="http://schemas.openxmlformats.org/officeDocument/2006/relationships/hyperlink" Target="https://www.w3.org/WAI/WCAG22/quickref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manual assistive-technology audit v1.0</dc:title>
  <dc:creator>Yurui Wang</dc:creator>
  <cp:keywords>AQP, evaluation, accessibility, questionnaire</cp:keywords>
  <dcterms:created xsi:type="dcterms:W3CDTF">2026-08-09T22:25:37Z</dcterms:created>
  <dcterms:modified xsi:type="dcterms:W3CDTF">2026-08-09T22:25:37Z</dcterms:modified>
  <dc:subject>Protocol v1.0 | not yet executed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