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oject-risk-assessment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Project Risk Assessment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Project: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Accessible Questionnaire Platform — observed researcher study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Version: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1.0, 9 August 2026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Student researcher: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Yurui Wang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Principal investigator/supervisor: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Dr Mark Colley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Setting: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One-to-one observed remote sessions on participants' own computers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Participants: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6–8 adults acting as novice questionnaire researchers</w:t>
      </w:r>
    </w:p>
    <w:p>
      <w:pPr>
        <w:pStyle w:val="BodyText"/>
      </w:pPr>
      <w:r>
        <w:rPr>
          <w:rFonts w:ascii="Calibri" w:hAnsi="Calibri"/>
        </w:rPr>
        <w:t xml:space="preserve">This assessment covers only the optional observed researcher study. The core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technical evaluation and the researcher's manual assistive-technology audit do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not collect participant data. The withdrawn disabled-respondent comparison is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outside this amendment.</w:t>
      </w:r>
    </w:p>
    <w:bookmarkStart w:id="20" w:name="overall-decision"/>
    <w:p>
      <w:pPr>
        <w:pStyle w:val="Heading2"/>
        <w:keepNext/>
        <w:keepLines/>
      </w:pPr>
      <w:r>
        <w:rPr>
          <w:rFonts w:ascii="Calibri" w:hAnsi="Calibri"/>
        </w:rPr>
        <w:t xml:space="preserve">Overall decision</w:t>
      </w:r>
    </w:p>
    <w:p>
      <w:pPr>
        <w:pStyle w:val="FirstParagraph"/>
      </w:pPr>
      <w:r>
        <w:rPr>
          <w:rFonts w:ascii="Calibri" w:hAnsi="Calibri"/>
        </w:rPr>
        <w:t xml:space="preserve">The study is low risk after the controls below. Do not recruit, consent or record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any participant until the amendment is approved in writing, the independent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second coder is named and the restricted UCL storage location is active.</w:t>
      </w:r>
    </w:p>
    <w:tbl>
      <w:tblPr>
        <w:tblW w:type="dxa" w:w="14112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2604"/>
        <w:gridCol w:w="1848"/>
        <w:gridCol w:w="1260"/>
        <w:gridCol w:w="5544"/>
        <w:gridCol w:w="2856"/>
      </w:tblGrid>
      <w:tr>
        <w:trPr>
          <w:tblHeader w:val="true"/>
          <w:tblHeader w:val="true"/>
          <w:cantSplit/>
        </w:trPr>
        <w:tc>
          <w:tcPr>
            <w:vAlign w:val="top"/>
            <w:tcW w:type="dxa" w:w="260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Hazard</w:t>
            </w:r>
          </w:p>
        </w:tc>
        <w:tc>
          <w:tcPr>
            <w:vAlign w:val="top"/>
            <w:tcW w:type="dxa" w:w="184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Who may be affected</w:t>
            </w:r>
          </w:p>
        </w:tc>
        <w:tc>
          <w:tcPr>
            <w:vAlign w:val="top"/>
            <w:tcW w:type="dxa" w:w="1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Initial risk</w:t>
            </w:r>
          </w:p>
        </w:tc>
        <w:tc>
          <w:tcPr>
            <w:vAlign w:val="top"/>
            <w:tcW w:type="dxa" w:w="554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Controls</w:t>
            </w:r>
          </w:p>
        </w:tc>
        <w:tc>
          <w:tcPr>
            <w:vAlign w:val="top"/>
            <w:tcW w:type="dxa" w:w="28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Residual risk and action</w:t>
            </w:r>
          </w:p>
        </w:tc>
      </w:tr>
      <w:tr>
        <w:trPr>
          <w:cantSplit/>
        </w:trPr>
        <w:tc>
          <w:tcPr>
            <w:tcW w:type="dxa" w:w="26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Accidental identity, account name, tabs, notifications or file paths in a screen recording</w:t>
            </w:r>
          </w:p>
        </w:tc>
        <w:tc>
          <w:tcPr>
            <w:tcW w:type="dxa" w:w="18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Participant</w:t>
            </w:r>
          </w:p>
        </w:tc>
        <w:tc>
          <w:tcPr>
            <w:tcW w:type="dxa" w:w="1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Medium</w:t>
            </w:r>
          </w:p>
        </w:tc>
        <w:tc>
          <w:tcPr>
            <w:tcW w:type="dxa" w:w="55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Explain the risk before consent; record the study window rather than the full desktop where the meeting tool permits; ask the participant to close unrelated windows and mute notifications; use only synthetic files; allow pause/stop; review only for coding.</w:t>
            </w:r>
          </w:p>
        </w:tc>
        <w:tc>
          <w:tcPr>
            <w:tcW w:type="dxa" w:w="28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Low. If unrelated sensitive material appears, stop, minimise further access and securely delete or redact the affected segment where feasible. Record the incident and tell the supervisor.</w:t>
            </w:r>
          </w:p>
        </w:tc>
      </w:tr>
      <w:tr>
        <w:trPr>
          <w:cantSplit/>
        </w:trPr>
        <w:tc>
          <w:tcPr>
            <w:tcW w:type="dxa" w:w="26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Unauthorised access, loss or incorrect transfer of recordings</w:t>
            </w:r>
          </w:p>
        </w:tc>
        <w:tc>
          <w:tcPr>
            <w:tcW w:type="dxa" w:w="18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Participant and research team</w:t>
            </w:r>
          </w:p>
        </w:tc>
        <w:tc>
          <w:tcPr>
            <w:tcW w:type="dxa" w:w="1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Medium</w:t>
            </w:r>
          </w:p>
        </w:tc>
        <w:tc>
          <w:tcPr>
            <w:tcW w:type="dxa" w:w="55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Transfer immediately to an access-controlled UCL RDSS project folder; verify the transfer; securely remove the temporary local copy; never email or upload recordings to GitHub/personal cloud; separate consent/contact records from coded data; restrict access to the student, supervisor and named second coder.</w:t>
            </w:r>
          </w:p>
        </w:tc>
        <w:tc>
          <w:tcPr>
            <w:tcW w:type="dxa" w:w="28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Low. Report any suspected breach through UCL procedures and suspend coding until advised.</w:t>
            </w:r>
          </w:p>
        </w:tc>
      </w:tr>
      <w:tr>
        <w:trPr>
          <w:cantSplit/>
        </w:trPr>
        <w:tc>
          <w:tcPr>
            <w:tcW w:type="dxa" w:w="26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Keeping identifiable recordings longer than needed</w:t>
            </w:r>
          </w:p>
        </w:tc>
        <w:tc>
          <w:tcPr>
            <w:tcW w:type="dxa" w:w="18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Participant</w:t>
            </w:r>
          </w:p>
        </w:tc>
        <w:tc>
          <w:tcPr>
            <w:tcW w:type="dxa" w:w="1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Medium</w:t>
            </w:r>
          </w:p>
        </w:tc>
        <w:tc>
          <w:tcPr>
            <w:tcW w:type="dxa" w:w="55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Delete raw screen/audio recordings no later than 30 November 2026 after coding and agreement checks; record the deletion date; retain only de-identified coded data for the approved period.</w:t>
            </w:r>
          </w:p>
        </w:tc>
        <w:tc>
          <w:tcPr>
            <w:tcW w:type="dxa" w:w="28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Low. Supervisor checks the deletion log.</w:t>
            </w:r>
          </w:p>
        </w:tc>
      </w:tr>
      <w:tr>
        <w:trPr>
          <w:cantSplit/>
        </w:trPr>
        <w:tc>
          <w:tcPr>
            <w:tcW w:type="dxa" w:w="26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Mild deception in the planted-difference task causes uncertainty or embarrassment</w:t>
            </w:r>
          </w:p>
        </w:tc>
        <w:tc>
          <w:tcPr>
            <w:tcW w:type="dxa" w:w="18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Participant</w:t>
            </w:r>
          </w:p>
        </w:tc>
        <w:tc>
          <w:tcPr>
            <w:tcW w:type="dxa" w:w="1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Low</w:t>
            </w:r>
          </w:p>
        </w:tc>
        <w:tc>
          <w:tcPr>
            <w:tcW w:type="dxa" w:w="55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Information sheet says one task may contain a small intentional difference; observer says the tool, not the participant, is being tested; debrief immediately with the exact difference and state that it was not the participant's mistake; permit withdrawal.</w:t>
            </w:r>
          </w:p>
        </w:tc>
        <w:tc>
          <w:tcPr>
            <w:tcW w:type="dxa" w:w="28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Low. Stop and debrief early if distress is visible or reported.</w:t>
            </w:r>
          </w:p>
        </w:tc>
      </w:tr>
      <w:tr>
        <w:trPr>
          <w:cantSplit/>
        </w:trPr>
        <w:tc>
          <w:tcPr>
            <w:tcW w:type="dxa" w:w="26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Frustration, fatigue or performance anxiety during unfamiliar setup tasks</w:t>
            </w:r>
          </w:p>
        </w:tc>
        <w:tc>
          <w:tcPr>
            <w:tcW w:type="dxa" w:w="18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Participant</w:t>
            </w:r>
          </w:p>
        </w:tc>
        <w:tc>
          <w:tcPr>
            <w:tcW w:type="dxa" w:w="1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Low</w:t>
            </w:r>
          </w:p>
        </w:tc>
        <w:tc>
          <w:tcPr>
            <w:tcW w:type="dxa" w:w="55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Limit the session to 75 minutes and each setup condition to 20 active minutes; use a fixed neutral script; allow breaks and stopping; do not grade the participant; collect only short questionnaires and open comments.</w:t>
            </w:r>
          </w:p>
        </w:tc>
        <w:tc>
          <w:tcPr>
            <w:tcW w:type="dxa" w:w="28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Low. Stop the session if the participant requests it or shows marked distress.</w:t>
            </w:r>
          </w:p>
        </w:tc>
      </w:tr>
      <w:tr>
        <w:trPr>
          <w:cantSplit/>
        </w:trPr>
        <w:tc>
          <w:tcPr>
            <w:tcW w:type="dxa" w:w="26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Observer coaching or inconsistent judgement biases task success, assists or errors</w:t>
            </w:r>
          </w:p>
        </w:tc>
        <w:tc>
          <w:tcPr>
            <w:tcW w:type="dxa" w:w="18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Research quality and participant</w:t>
            </w:r>
          </w:p>
        </w:tc>
        <w:tc>
          <w:tcPr>
            <w:tcW w:type="dxa" w:w="1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Medium</w:t>
            </w:r>
          </w:p>
        </w:tc>
        <w:tc>
          <w:tcPr>
            <w:tcW w:type="dxa" w:w="55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Freeze the task, start/end state, success/assist/error definitions and permitted prompts; counterbalance condition order; record with consent; independently code at least two sessions; report pre-consensus agreement and deviations.</w:t>
            </w:r>
          </w:p>
        </w:tc>
        <w:tc>
          <w:tcPr>
            <w:tcW w:type="dxa" w:w="28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Low for a formative study. Do not make population claims or run significance tests.</w:t>
            </w:r>
          </w:p>
        </w:tc>
      </w:tr>
      <w:tr>
        <w:trPr>
          <w:cantSplit/>
        </w:trPr>
        <w:tc>
          <w:tcPr>
            <w:tcW w:type="dxa" w:w="26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Use of a participant's live Qualtrics workspace reveals real research data</w:t>
            </w:r>
          </w:p>
        </w:tc>
        <w:tc>
          <w:tcPr>
            <w:tcW w:type="dxa" w:w="18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Participant or third parties</w:t>
            </w:r>
          </w:p>
        </w:tc>
        <w:tc>
          <w:tcPr>
            <w:tcW w:type="dxa" w:w="1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Medium</w:t>
            </w:r>
          </w:p>
        </w:tc>
        <w:tc>
          <w:tcPr>
            <w:tcW w:type="dxa" w:w="55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Use a fresh copy of the study-owned UCL Qualtrics template and synthetic task details only; tell participants not to open real surveys or participant data; stop recording if unrelated data appear.</w:t>
            </w:r>
          </w:p>
        </w:tc>
        <w:tc>
          <w:tcPr>
            <w:tcW w:type="dxa" w:w="28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Low. Delete/redact accidental capture and report if personal data were exposed.</w:t>
            </w:r>
          </w:p>
        </w:tc>
      </w:tr>
      <w:tr>
        <w:trPr>
          <w:cantSplit/>
        </w:trPr>
        <w:tc>
          <w:tcPr>
            <w:tcW w:type="dxa" w:w="26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Participant cannot exercise withdrawal because contact and task data are mixed</w:t>
            </w:r>
          </w:p>
        </w:tc>
        <w:tc>
          <w:tcPr>
            <w:tcW w:type="dxa" w:w="18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Participant</w:t>
            </w:r>
          </w:p>
        </w:tc>
        <w:tc>
          <w:tcPr>
            <w:tcW w:type="dxa" w:w="1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Low</w:t>
            </w:r>
          </w:p>
        </w:tc>
        <w:tc>
          <w:tcPr>
            <w:tcW w:type="dxa" w:w="55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Use a study code; store the code key and consent/contact data separately; accept withdrawal requests for seven calendar days after the session; document when data become irreversibly anonymised.</w:t>
            </w:r>
          </w:p>
        </w:tc>
        <w:tc>
          <w:tcPr>
            <w:tcW w:type="dxa" w:w="28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Low. Confirm withdrawal and deletion in writing.</w:t>
            </w:r>
          </w:p>
        </w:tc>
      </w:tr>
      <w:tr>
        <w:trPr>
          <w:cantSplit/>
        </w:trPr>
        <w:tc>
          <w:tcPr>
            <w:tcW w:type="dxa" w:w="260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Remote session interruption, connection failure or loss of a partial recording</w:t>
            </w:r>
          </w:p>
        </w:tc>
        <w:tc>
          <w:tcPr>
            <w:tcW w:type="dxa" w:w="18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Participant and research quality</w:t>
            </w:r>
          </w:p>
        </w:tc>
        <w:tc>
          <w:tcPr>
            <w:tcW w:type="dxa" w:w="1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Low</w:t>
            </w:r>
          </w:p>
        </w:tc>
        <w:tc>
          <w:tcPr>
            <w:tcW w:type="dxa" w:w="55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Pause the timer for researcher-owned outages; permit rescheduling; do not treat technical failure as participant error; verify files before deleting the temporary copy; document protocol deviations.</w:t>
            </w:r>
          </w:p>
        </w:tc>
        <w:tc>
          <w:tcPr>
            <w:tcW w:type="dxa" w:w="28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Low. Exclude only under pre-specified rules and report the case.</w:t>
            </w:r>
          </w:p>
        </w:tc>
      </w:tr>
    </w:tbl>
    <w:bookmarkEnd w:id="20"/>
    <w:bookmarkStart w:id="21" w:name="data-protection-controls"/>
    <w:p>
      <w:pPr>
        <w:pStyle w:val="Heading2"/>
        <w:keepNext/>
        <w:keepLines/>
      </w:pPr>
      <w:r>
        <w:rPr>
          <w:rFonts w:ascii="Calibri" w:hAnsi="Calibri"/>
        </w:rPr>
        <w:t xml:space="preserve">Data-protection controls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The student researcher completes required UCL data-protection training before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handling recordings.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No special-category personal data is requested.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UCL is the data controller; research uses the public-task lawful basis.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The participant receives the UCL General Research Participant Privacy Notice.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Consent records are retained separately under the UCL Records Retention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Schedule. De-identified research data follow the approved research-retention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period.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Raw recordings are not open data and will not be published.</w:t>
      </w:r>
    </w:p>
    <w:bookmarkEnd w:id="21"/>
    <w:bookmarkStart w:id="22" w:name="researcher-safety"/>
    <w:p>
      <w:pPr>
        <w:pStyle w:val="Heading2"/>
        <w:keepNext/>
        <w:keepLines/>
      </w:pPr>
      <w:r>
        <w:rPr>
          <w:rFonts w:ascii="Calibri" w:hAnsi="Calibri"/>
        </w:rPr>
        <w:t xml:space="preserve">Researcher safety</w:t>
      </w:r>
    </w:p>
    <w:p>
      <w:pPr>
        <w:pStyle w:val="FirstParagraph"/>
      </w:pPr>
      <w:r>
        <w:rPr>
          <w:rFonts w:ascii="Calibri" w:hAnsi="Calibri"/>
        </w:rPr>
        <w:t xml:space="preserve">Sessions are remote and concern non-sensitive software tasks. No in-person,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off-site or lone visit is required. The researcher may stop a session, report an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incident to the supervisor and use UCL wellbeing or safety procedures if needed.</w:t>
      </w:r>
    </w:p>
    <w:bookmarkEnd w:id="22"/>
    <w:bookmarkStart w:id="23" w:name="declaration"/>
    <w:p>
      <w:pPr>
        <w:pStyle w:val="Heading2"/>
        <w:keepNext/>
        <w:keepLines/>
      </w:pPr>
      <w:r>
        <w:rPr>
          <w:rFonts w:ascii="Calibri" w:hAnsi="Calibri"/>
        </w:rPr>
        <w:t xml:space="preserve">Declaration</w:t>
      </w:r>
    </w:p>
    <w:p>
      <w:pPr>
        <w:pStyle w:val="FirstParagraph"/>
      </w:pPr>
      <w:r>
        <w:rPr>
          <w:rFonts w:ascii="Calibri" w:hAnsi="Calibri"/>
        </w:rPr>
        <w:t xml:space="preserve">I have reviewed this assessment with the supervisor. I will use the approved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documents and frozen protocol, report incidents or changes, and seek further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ethics confirmation before changing the participant group, recording method,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payment, data route or study tasks.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Student researcher — Yurui Wang</w:t>
      </w:r>
    </w:p>
    <w:p>
      <w:pPr>
        <w:pStyle w:val="BodyText"/>
      </w:pPr>
      <w:r>
        <w:rPr>
          <w:rFonts w:ascii="Calibri" w:hAnsi="Calibri"/>
        </w:rPr>
        <w:t xml:space="preserve">Signature: ________________________________ Date: ____________________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Principal investigator/supervisor — Dr Mark Colley</w:t>
      </w:r>
    </w:p>
    <w:p>
      <w:pPr>
        <w:pStyle w:val="BodyText"/>
      </w:pPr>
      <w:r>
        <w:rPr>
          <w:rFonts w:ascii="Calibri" w:hAnsi="Calibri"/>
        </w:rPr>
        <w:t xml:space="preserve">Signature: ________________________________ Date: ____________________</w:t>
      </w:r>
    </w:p>
    <w:bookmarkEnd w:id="23"/>
    <w:bookmarkEnd w:id="24"/>
    <w:sectPr>
      <w:headerReference w:type="default" r:id="rId9"/>
      <w:footerReference w:type="default" r:id="rId10"/>
      <w:headerReference w:type="even" r:id="rId11"/>
      <w:footerReference w:type="even" r:id="rId12"/>
      <w:pgSz w:orient="landscape" w:w="15840" w:h="12240"/>
      <w:pgMar w:top="1008" w:bottom="1008" w:left="864" w:right="864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Risk Assessment</dc:title>
  <dc:creator>Yurui Wang</dc:creator>
  <cp:keywords>AQP, evaluation, accessibility, questionnaire</cp:keywords>
  <dcterms:created xsi:type="dcterms:W3CDTF">2026-08-09T22:25:37Z</dcterms:created>
  <dcterms:modified xsi:type="dcterms:W3CDTF">2026-08-09T22:25:37Z</dcterms:modified>
  <dc:subject>Version 1.0 | observed researcher study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