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ond-coder-agreement-shee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Second-Coder Agreement Sheet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</w:p>
    <w:p>
      <w:pPr>
        <w:pStyle w:val="BodyText"/>
      </w:pPr>
      <w:r>
        <w:rPr>
          <w:rFonts w:ascii="Calibri" w:hAnsi="Calibri"/>
        </w:rPr>
        <w:t xml:space="preserve">Complete independently before seeing the primary observer's codes. Use the fixed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success, assist and error definitions in Protocol v1.0. Access only the recordings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listed in the approved amendment and record the approved RDSS evidence IDs, not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copy of the file path or participant identity.</w:t>
      </w:r>
    </w:p>
    <w:bookmarkStart w:id="20" w:name="coder-and-frozen-selection"/>
    <w:p>
      <w:pPr>
        <w:pStyle w:val="Heading2"/>
        <w:keepNext/>
        <w:keepLines/>
      </w:pPr>
      <w:r>
        <w:rPr>
          <w:rFonts w:ascii="Calibri" w:hAnsi="Calibri"/>
        </w:rPr>
        <w:t xml:space="preserve">Coder and frozen selection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9770"/>
      </w:tblGrid>
      <w:tr>
        <w:trPr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Field</w:t>
            </w:r>
          </w:p>
        </w:tc>
        <w:tc>
          <w:tcPr>
            <w:vAlign w:val="top"/>
            <w:tcW w:type="dxa" w:w="977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Record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Second coder name and UCL role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Access/confidentiality approval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Selection frozen on/by whom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AQ recording evidence ID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QA recording evidence ID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Coding completed before primary codes opened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Yes / No</w:t>
            </w:r>
          </w:p>
        </w:tc>
      </w:tr>
    </w:tbl>
    <w:bookmarkEnd w:id="20"/>
    <w:bookmarkStart w:id="21" w:name="X61d537c60e01357e7561e56036abd2bab31f60d"/>
    <w:p>
      <w:pPr>
        <w:pStyle w:val="Heading2"/>
        <w:keepNext/>
        <w:keepLines/>
      </w:pPr>
      <w:r>
        <w:rPr>
          <w:rFonts w:ascii="Calibri" w:hAnsi="Calibri"/>
        </w:rPr>
        <w:t xml:space="preserve">Independent coding — repeat for each selected session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4776"/>
        <w:gridCol w:w="4994"/>
      </w:tblGrid>
      <w:tr>
        <w:trPr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Field</w:t>
            </w:r>
          </w:p>
        </w:tc>
        <w:tc>
          <w:tcPr>
            <w:vAlign w:val="top"/>
            <w:tcW w:type="dxa" w:w="47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AQP condition</w:t>
            </w:r>
          </w:p>
        </w:tc>
        <w:tc>
          <w:tcPr>
            <w:vAlign w:val="top"/>
            <w:tcW w:type="dxa" w:w="499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Qualtrics condition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Task-success category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Active time (seconds)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Assist events: timestamp, category, exact words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Error events: timestamp, category, recovery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End-state checkpoint pass vector</w:t>
            </w:r>
          </w:p>
        </w:tc>
        <w:tc>
          <w:tcPr>
            <w:tcW w:type="dxa" w:w="47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499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bookmarkEnd w:id="21"/>
    <w:bookmarkStart w:id="22" w:name="pre-consensus-agreement"/>
    <w:p>
      <w:pPr>
        <w:pStyle w:val="Heading2"/>
        <w:keepNext/>
        <w:keepLines/>
      </w:pPr>
      <w:r>
        <w:rPr>
          <w:rFonts w:ascii="Calibri" w:hAnsi="Calibri"/>
        </w:rPr>
        <w:t xml:space="preserve">Pre-consensus agreement</w:t>
      </w:r>
    </w:p>
    <w:tbl>
      <w:tblPr>
        <w:tblW w:type="dxa" w:w="14112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4342"/>
        <w:gridCol w:w="9770"/>
      </w:tblGrid>
      <w:tr>
        <w:trPr>
          <w:tblHeader w:val="true"/>
          <w:cantSplit/>
        </w:trPr>
        <w:tc>
          <w:tcPr>
            <w:vAlign w:val="top"/>
            <w:tcW w:type="dxa" w:w="434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Measure</w:t>
            </w:r>
          </w:p>
        </w:tc>
        <w:tc>
          <w:tcPr>
            <w:vAlign w:val="top"/>
            <w:tcW w:type="dxa" w:w="977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6"/>
              </w:rPr>
              <w:t xml:space="preserve">Raw result</w:t>
            </w: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Exact task-success agreement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End-state checkpoints agreed / total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Primary assist count / second-coder count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Primary error count / second-coder count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Matched events within 10 seconds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Union of both coders' events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Event agreement = matched / union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434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6"/>
              </w:rPr>
              <w:t xml:space="preserve">Disagreements before discussion</w:t>
            </w:r>
          </w:p>
        </w:tc>
        <w:tc>
          <w:tcPr>
            <w:tcW w:type="dxa" w:w="977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</w:pPr>
      <w:r>
        <w:rPr>
          <w:rFonts w:ascii="Calibri" w:hAnsi="Calibri"/>
        </w:rPr>
        <w:t xml:space="preserve">Freeze this sheet before consensus. Record any consensus result separately; do not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overwrite the independent numbers.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Second coder signature/date: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________________________________</w:t>
      </w:r>
    </w:p>
    <w:bookmarkEnd w:id="22"/>
    <w:bookmarkEnd w:id="23"/>
    <w:sectPr>
      <w:headerReference w:type="default" r:id="rId9"/>
      <w:footerReference w:type="default" r:id="rId10"/>
      <w:headerReference w:type="even" r:id="rId11"/>
      <w:footerReference w:type="even" r:id="rId12"/>
      <w:pgSz w:orient="landscape" w:w="15840" w:h="12240"/>
      <w:pgMar w:top="1008" w:bottom="1008" w:left="864" w:right="864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Second-Coder Agreement Sheet</dc:title>
  <dc:creator>Yurui Wang</dc:creator>
  <cp:keywords>AQP, evaluation, accessibility, questionnaire</cp:keywords>
  <dcterms:created xsi:type="dcterms:W3CDTF">2026-08-09T22:25:37Z</dcterms:created>
  <dcterms:modified xsi:type="dcterms:W3CDTF">2026-08-09T22:25:37Z</dcterms:modified>
  <dc:subject>Version 1.0 | observed researcher study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