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aim-and-naming-decision-v1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Claim and naming decision v1</w:t>
      </w:r>
    </w:p>
    <w:p>
      <w:pPr>
        <w:pStyle w:val="FirstParagraph"/>
      </w:pPr>
      <w:r>
        <w:rPr>
          <w:rFonts w:ascii="Calibri" w:hAnsi="Calibri"/>
        </w:rPr>
        <w:t xml:space="preserve">Date: 2026-08-10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Status: recommended wording for dissertation, publication draft and the next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repository rename; the GitHub repository has not yet been renamed.</w:t>
      </w:r>
    </w:p>
    <w:bookmarkStart w:id="20" w:name="dissertation-title"/>
    <w:p>
      <w:pPr>
        <w:pStyle w:val="Heading2"/>
        <w:keepNext/>
        <w:keepLines/>
      </w:pPr>
      <w:r>
        <w:rPr>
          <w:rFonts w:ascii="Calibri" w:hAnsi="Calibri"/>
        </w:rPr>
        <w:t xml:space="preserve">Dissertation title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A Bounded Questionnaire Administration Pipeline: Fidelity, Provenance,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Recovery and Technical Accessibility Evaluation</w:t>
      </w:r>
    </w:p>
    <w:p>
      <w:pPr>
        <w:pStyle w:val="BodyText"/>
      </w:pPr>
      <w:r>
        <w:rPr>
          <w:rFonts w:ascii="Calibri" w:hAnsi="Calibri"/>
        </w:rPr>
        <w:t xml:space="preserve">This title is intentionally narrower than</w:t>
      </w:r>
      <w:r>
        <w:rPr>
          <w:rFonts w:ascii="Calibri" w:hAnsi="Calibri"/>
        </w:rPr>
        <w:t xml:space="preserve"> </w:t>
      </w:r>
      <w:r>
        <w:rPr>
          <w:iCs/>
          <w:rFonts w:ascii="Calibri" w:hAnsi="Calibri"/>
          <w:i/>
        </w:rPr>
        <w:t xml:space="preserve">Towards More Accessible</w:t>
      </w:r>
      <w:r>
        <w:rPr>
          <w:iCs/>
          <w:rFonts w:ascii="Calibri" w:hAnsi="Calibri"/>
          <w:i/>
        </w:rPr>
        <w:t xml:space="preserve"> </w:t>
      </w:r>
      <w:r>
        <w:rPr>
          <w:iCs/>
          <w:rFonts w:ascii="Calibri" w:hAnsi="Calibri"/>
          <w:i/>
        </w:rPr>
        <w:t xml:space="preserve">Questionnaires</w:t>
      </w:r>
      <w:r>
        <w:rPr>
          <w:rFonts w:ascii="Calibri" w:hAnsi="Calibri"/>
        </w:rPr>
        <w:t xml:space="preserve">. It names the implemented system boundary and the evidence that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dissertation can supply. “Technical Accessibility Evaluation” means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automated real-browser checks and a manual assistive-technology audit on named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configurations. It does not imply benefit, usability or preference evidence from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disabled participants.</w:t>
      </w:r>
    </w:p>
    <w:bookmarkEnd w:id="20"/>
    <w:bookmarkStart w:id="21" w:name="repository-and-product-name"/>
    <w:p>
      <w:pPr>
        <w:pStyle w:val="Heading2"/>
        <w:keepNext/>
        <w:keepLines/>
      </w:pPr>
      <w:r>
        <w:rPr>
          <w:rFonts w:ascii="Calibri" w:hAnsi="Calibri"/>
        </w:rPr>
        <w:t xml:space="preserve">Repository and product name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Recommended repository slug:</w:t>
      </w:r>
      <w:r>
        <w:rPr>
          <w:rFonts w:ascii="Calibri" w:hAnsi="Calibri"/>
        </w:rPr>
        <w:t xml:space="preserve"> </w:t>
      </w:r>
      <w:r>
        <w:rPr>
          <w:rStyle w:val="VerbatimChar"/>
          <w:bCs/>
          <w:rFonts w:ascii="Calibri" w:hAnsi="Calibri"/>
          <w:b/>
        </w:rPr>
        <w:t xml:space="preserve">questionnaire-fidelity-pipeline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Recommended display name: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Questionnaire Fidelity Pipeline (QFP)</w:t>
      </w:r>
    </w:p>
    <w:p>
      <w:pPr>
        <w:pStyle w:val="FirstParagraph"/>
      </w:pPr>
      <w:r>
        <w:rPr>
          <w:rFonts w:ascii="Calibri" w:hAnsi="Calibri"/>
        </w:rPr>
        <w:t xml:space="preserve">The name foregrounds the strongest checkable property and avoids presenting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“accessible” as an established product benefit. Rename only after the current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correction PR is verified and the affected Pages URL, badges, package metadata,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citations and deployment links are updated together. Preserve the old GitHub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redirect and record the rename in the release notes.</w:t>
      </w:r>
    </w:p>
    <w:bookmarkEnd w:id="21"/>
    <w:bookmarkStart w:id="25" w:name="locked-contribution"/>
    <w:p>
      <w:pPr>
        <w:pStyle w:val="Heading2"/>
        <w:keepNext/>
        <w:keepLines/>
      </w:pPr>
      <w:r>
        <w:rPr>
          <w:rFonts w:ascii="Calibri" w:hAnsi="Calibri"/>
        </w:rPr>
        <w:t xml:space="preserve">Locked contribution</w:t>
      </w:r>
    </w:p>
    <w:bookmarkStart w:id="22" w:name="X54894f19472aaa5ebd3e77cf3e16bc214aed5c4"/>
    <w:p>
      <w:pPr>
        <w:pStyle w:val="Heading3"/>
        <w:keepNext/>
        <w:keepLines/>
      </w:pPr>
      <w:r>
        <w:rPr>
          <w:rFonts w:ascii="Calibri" w:hAnsi="Calibri"/>
        </w:rPr>
        <w:t xml:space="preserve">1. Bounded, checkable measurement identity and provenance</w:t>
      </w:r>
    </w:p>
    <w:p>
      <w:pPr>
        <w:pStyle w:val="FirstParagraph"/>
      </w:pPr>
      <w:r>
        <w:rPr>
          <w:rFonts w:ascii="Calibri" w:hAnsi="Calibri"/>
        </w:rPr>
        <w:t xml:space="preserve">Compatible questionnaire content is admitted through a shared definition path,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while response structures and scorers remain reviewed executable boundaries.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canonical definition fingerprint binds configuration, rendered definition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result, and the self-contained export records the definition, scorer,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responses, routes and support state. The fingerprint proves internal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consistency, not authenticated authorship.</w:t>
      </w:r>
    </w:p>
    <w:bookmarkEnd w:id="22"/>
    <w:bookmarkStart w:id="23" w:name="X0c1664243e7e3f09901a783d277f57cd6800e7f"/>
    <w:p>
      <w:pPr>
        <w:pStyle w:val="Heading3"/>
        <w:keepNext/>
        <w:keepLines/>
      </w:pPr>
      <w:r>
        <w:rPr>
          <w:rFonts w:ascii="Calibri" w:hAnsi="Calibri"/>
        </w:rPr>
        <w:t xml:space="preserve">2. Quantified fail-closed fidelity and reconstructability</w:t>
      </w:r>
    </w:p>
    <w:p>
      <w:pPr>
        <w:pStyle w:val="FirstParagraph"/>
      </w:pPr>
      <w:r>
        <w:rPr>
          <w:rFonts w:ascii="Calibri" w:hAnsi="Calibri"/>
        </w:rPr>
        <w:t xml:space="preserve">Independent source-of-truth comparisons quantify item/order/label/value/required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scoring fidelity; a frozen adversarial battery quantifies refusal behaviour;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export-only reconstruction makes provenance falsifiable. Unsupported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content is refused rather than silently approximated. Data-driven reuse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measured, but loading JSON, importing survey files and splitting a workflow into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ten screens are not claimed as novel contributions.</w:t>
      </w:r>
    </w:p>
    <w:bookmarkEnd w:id="23"/>
    <w:bookmarkStart w:id="24" w:name="Xd11e0f5edc3b519869458413d36848837a2b42a"/>
    <w:p>
      <w:pPr>
        <w:pStyle w:val="Heading3"/>
        <w:keepNext/>
        <w:keepLines/>
      </w:pPr>
      <w:r>
        <w:rPr>
          <w:rFonts w:ascii="Calibri" w:hAnsi="Calibri"/>
        </w:rPr>
        <w:t xml:space="preserve">3. Correctable and recoverable administration with bounded technical</w:t>
      </w:r>
    </w:p>
    <w:p>
      <w:pPr>
        <w:pStyle w:val="FirstParagraph"/>
      </w:pPr>
      <w:r>
        <w:rPr>
          <w:rFonts w:ascii="Calibri" w:hAnsi="Calibri"/>
        </w:rPr>
        <w:t xml:space="preserve">accessibility evidence</w:t>
      </w:r>
    </w:p>
    <w:p>
      <w:pPr>
        <w:pStyle w:val="BodyText"/>
      </w:pPr>
      <w:r>
        <w:rPr>
          <w:rFonts w:ascii="Calibri" w:hAnsi="Calibri"/>
        </w:rPr>
        <w:t xml:space="preserve">The participant runner provides direct per-item correction, saved-progress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recovery, explicit failure states and confirmed voice proposals. These features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are evaluated across a frozen real-browser state inventory and a versioned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manual audit of named assistive-technology routes. This contribution remains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technically, not human-benefit, evidenced; until the manual audit is executed,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its manual component is Not evidenced.</w:t>
      </w:r>
    </w:p>
    <w:bookmarkEnd w:id="24"/>
    <w:bookmarkEnd w:id="25"/>
    <w:bookmarkStart w:id="26" w:name="prohibited-claim-shortcuts"/>
    <w:p>
      <w:pPr>
        <w:pStyle w:val="Heading2"/>
        <w:keepNext/>
        <w:keepLines/>
      </w:pPr>
      <w:r>
        <w:rPr>
          <w:rFonts w:ascii="Calibri" w:hAnsi="Calibri"/>
        </w:rPr>
        <w:t xml:space="preserve">Prohibited claim shortcuts</w:t>
      </w:r>
    </w:p>
    <w:p>
      <w:pPr>
        <w:pStyle w:val="FirstParagraph"/>
      </w:pPr>
      <w:r>
        <w:rPr>
          <w:rFonts w:ascii="Calibri" w:hAnsi="Calibri"/>
        </w:rPr>
        <w:t xml:space="preserve">Do not describe the system as questionnaire-independent: a new scoring rule 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response structure requires executable scoring and validation changes.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claim general accessibility, improvement over Qualtrics, score equivalence,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psychometric invariance or benefit for disabled users. Do not treat zero axe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violations, one browser route or implementation of an ARIA mechanism as proof of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those claims.</w:t>
      </w:r>
    </w:p>
    <w:bookmarkEnd w:id="26"/>
    <w:bookmarkEnd w:id="27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claim and naming decision  |  Version 1.0 | 10 August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claim and naming decision  |  Version 1.0 | 10 August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and naming decision v1</dc:title>
  <dc:creator>Yurui Wang</dc:creator>
  <cp:keywords>AQP, evaluation, accessibility, questionnaire</cp:keywords>
  <dcterms:created xsi:type="dcterms:W3CDTF">2026-08-10T00:40:31Z</dcterms:created>
  <dcterms:modified xsi:type="dcterms:W3CDTF">2026-08-10T00:40:31Z</dcterms:modified>
  <dc:subject>Version 1.0 | 10 August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