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qp-evaluation-matrix-v6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evaluation matrix v6</w:t>
      </w:r>
    </w:p>
    <w:p>
      <w:pPr>
        <w:pStyle w:val="FirstParagraph"/>
      </w:pPr>
      <w:r>
        <w:rPr>
          <w:rFonts w:ascii="Calibri" w:hAnsi="Calibri"/>
        </w:rPr>
        <w:t xml:space="preserve">Version: 6.5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Revised: 2026-08-10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Status rule: only evidence tied to the evaluated release is marked Evidenced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implements bounded definition-driven reuse: supported questionnaire content is loaded through a shared runner and workflow, while response structures, scorers and optional supports remain explicit executable boundaries. It is not questionnaire-independent.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Compatible data-only admission: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compatible imported definitions completing the shared production path, with instrument-specific production extension files required reported separately.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Shared contract reuse: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case × contract executions ÷ all required case × contract executions, using one unchanged 12-contract function.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Allowlist correctness: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declaration, rendered control and configuration gate agreeing ÷ checked definition × support combinations.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At least two compatible definitions complete with 0 instrument-specific production extension files; shared contract reuse is 100% with 0 instrument-specific contract copies; allowlist agreement is 100%. A new scorer or response structure is reported as executable boundary extension, not a data-only platform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Quantified production-path reuse/allowlist test and machine-readable technical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4fe422c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Five imported definitions completed as data with 0 instrument-specific production files, 96/96 shared case-contract executions used one function with 0 copies, and 16/16 allowlist combinations matched in CI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31399712181</w:t>
              </w:r>
            </w:hyperlink>
            <w:r>
              <w:rPr>
                <w:rFonts w:ascii="Calibri" w:hAnsi="Calibri"/>
                <w:sz w:val="16"/>
              </w:rPr>
              <w:t xml:space="preserve">. The broader “questionnaire-independent” claim is withdrawn.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For the named release and configurations only, participant screens satisfy the pre-specified automated browser checks and manual technical assistive-technology checks. No benefit or usability claim for disabled users is made.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Rendered browser: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state/profile scans ÷ 135 required scans (27 structurally distinct states × 5 profiles), with axe violations, incomplete checks, overflow and target size reported. Fixture-induced external-service/hardware states are identified row by row.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Manual AT: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applicable route/check cells ÷ all applicable cells on NVDA/Firefox, NVDA/Chrome, VoiceOver/Safari and one OS voice-control route; report WCAG SC outcomes and exact dynamic announcements.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All 135 browser scans present; 0 automatically detected violations; 0 overflow failures; 0 critical target-size failures; incomplete axe checks listed. Manual audit has 0 NT cells, every applicable cell P/F, and no S3 failure in a technically supported route. A markup mechanism that is not usefully announced is F.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Frozen runner-state inventory; Playwright/axe JSON+HTML and trace artefact; cross-browser matrix; versioned manual AT audit.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 overall.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Draft PR candidate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4fe422c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completed 135/135 required scans with 0 automatically detected violations, 0 overflow failures, 0 critical target-size failures and 0 missing state/profile rows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31399712181</w:t>
              </w:r>
            </w:hyperlink>
            <w:r>
              <w:rPr>
                <w:rFonts w:ascii="Calibri" w:hAnsi="Calibri"/>
                <w:sz w:val="16"/>
              </w:rPr>
              <w:t xml:space="preserve">. Axe returned 13 incomplete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Style w:val="VerbatimChar"/>
                <w:rFonts w:ascii="Calibri" w:hAnsi="Calibri"/>
                <w:sz w:val="16"/>
              </w:rPr>
              <w:t xml:space="preserve">color-contrast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scan results involving 20 gaze-state node occurrences because overlapping backgrounds could not be determined; the same target may occur in more than one state/profile row. Every target and failure summary is retained for manual inspection and none is counted as a pass. All manual route cells remain NT. No general accessibility or disabled-user benefit claim is available.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Within the frozen support boundary, AQP preserves item content/order, response labels/stored values, required status, scoring identifier and reported score from source to rendered response and result.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Fidelity mismatch rate: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unequal expected/observed fields ÷ all independent-oracle comparisons, reported for each of the three distributable built-ins in this candidate and every QSF/LSS/LSG/LSQ fixture.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0 mismatches in every case. One missing, reordered, relabelled, revalued or differently scored field fails the release. A removed instrument is a disclosed scope change, not counted as a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Hand-maintained source-of-truth JSON; programmatic production-path round trip; machine-readable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Partially 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4fe422c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Eight cases, 31 items and 234 field comparisons produced 0 mismatches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31399712181</w:t>
              </w:r>
            </w:hyperlink>
            <w:r>
              <w:rPr>
                <w:rFonts w:ascii="Calibri" w:hAnsi="Calibri"/>
                <w:sz w:val="16"/>
              </w:rPr>
              <w:t xml:space="preserve">. This does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not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satisfy the supervisor's original “all four built-ins” denominator: UEQ-S was removed pending public-repository/deployment permission. The three-instrument release boundary requires explicit supervisor acceptance.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fails closed for the pre-specified unsupported or adversarial inputs and does not silently alter them into participant-ready questionnaires.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Negative outcome count: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number in each of refused-specific, refused-generic, accepted-documented-loss and silently-altered across 12 frozen adversarial inputs.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Silently altered = 0/12. Every accepted loss must be explicit and acknowledged; every refusal must produce no participant link/partial definition. Specific and generic refusals are reported separately.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Automated negative battery and row-level results table.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4fe422c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31399712181</w:t>
              </w:r>
            </w:hyperlink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recorded 10 specific refusals, 2 generic parse refusals, 0 accepted documented losses and 0 silently altered.</w:t>
            </w:r>
          </w:p>
        </w:tc>
      </w:tr>
    </w:tbl>
    <w:bookmarkStart w:id="21" w:name="active-claims-continue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Active claims (continued)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The revised researcher setup can be evaluated formatively against a precisely matched Qualtrics setup condition for task success, time, assists, errors and perceived ease. This is an optional additional study, not required for the technical dissertation evaluation.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Per setup condition: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checkpoint-valid completions ÷ assigned attempts; active setup time ending at declaration/20-minute limit; assists; predefined errors and critical status; immediate post-condition SEQ and SUS. After both post-condition sheets, the observer runs an untimed fixed-vector link/identity/score/export verification for each preserved setup.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Separate AQP source-review task: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discrepancy detection, time, assists and false positives. Report every participant and n/median/minimum/maximum. A second coder independently codes at least two recordings using one-to-one same-category event matching within 10 seconds.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 task succeeds only when every frozen platform-specific end-state check passes after the observer's synthetic verification. An unrecovered error is critical when it fails a checkpoint or leaves an incorrect identity, scoring rule, response value or unusable link. Eight AQ/QA slots are generated and concealed before recruitment; later allocation is not adapted to outcomes. Report descriptive results only; no significance test or general usability claim at n=6–8.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Preregistered observed-study protocol and end-state map; recordings with consent; observer/coder logs; fixed Post-Condition Measures Sheet with raw SEQ/SUS responses.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Protocol v1.2 is method-ready, but no sessions may run without written amendment approval and completed activation gates. If approval/timing does not permit, retain it as planned work and keep C5 Not evidenced.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C7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Each result record is bound to the questionnaire definition used for its configuration, and the definition, final response set and score can be reconstructed and checked from the export alone.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Hash verification: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matching canonical SHA-256 in configuration, recomputed loaded definition and submitted result ÷ tested cases; Version 4 configurations and result records with a missing or mismatched fingerprint rejected ÷ tamper cases.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Reconstruction: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fully reconstructed exports with 0 definition/response/score mismatches ÷ all fidelity cases.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Hash agreement 100%; every missing or mismatched Version 4 configuration/result fingerprint is rejected and cannot show or restore success. Reconstruction 8/8 with 0 mismatches; every export contains the complete definition, scorer and responses needed without repository lookup. This unsigned fingerprint establishes internal consistency, not authenticated authorship.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Configuration/result schema tests; missing-hash and stale-hash tampered-link/result tests; submission-block test; export reconstruction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Evidenced for Draft PR candidate</w:t>
            </w:r>
            <w:r>
              <w:rPr>
                <w:bCs/>
                <w:rFonts w:ascii="Calibri" w:hAnsi="Calibri"/>
                <w:b/>
                <w:sz w:val="16"/>
              </w:rPr>
              <w:t xml:space="preserve"> </w:t>
            </w:r>
            <w:r>
              <w:rPr>
                <w:rStyle w:val="VerbatimChar"/>
                <w:bCs/>
                <w:rFonts w:ascii="Calibri" w:hAnsi="Calibri"/>
                <w:b/>
                <w:sz w:val="16"/>
              </w:rPr>
              <w:t xml:space="preserve">4fe422c</w:t>
            </w:r>
            <w:r>
              <w:rPr>
                <w:bCs/>
                <w:rFonts w:ascii="Calibri" w:hAnsi="Calibri"/>
                <w:b/>
                <w:sz w:val="16"/>
              </w:rPr>
              <w:t xml:space="preserve">; final main/release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Missing/mismatched Version 4 hashes were rejected in CI, including link-load, submission and stored-result restoration routes; 8/8 exports and 31/31 responses reconstructed with 0 mismatch in run</w:t>
            </w:r>
            <w:r>
              <w:rPr>
                <w:rFonts w:ascii="Calibri" w:hAnsi="Calibri"/>
                <w:sz w:val="16"/>
              </w:rPr>
              <w:t xml:space="preserve"> </w:t>
            </w:r>
            <w:hyperlink r:id="rId20">
              <w:r>
                <w:rPr>
                  <w:rStyle w:val="Hyperlink"/>
                </w:rPr>
                <w:t xml:space="preserve">31399712181</w:t>
              </w:r>
            </w:hyperlink>
            <w:r>
              <w:rPr>
                <w:rFonts w:ascii="Calibri" w:hAnsi="Calibri"/>
                <w:sz w:val="16"/>
              </w:rPr>
              <w:t xml:space="preserve">. Final main and deployed SHA must reproduce the result.</w:t>
            </w:r>
          </w:p>
        </w:tc>
      </w:tr>
    </w:tbl>
    <w:bookmarkEnd w:id="21"/>
    <w:bookmarkStart w:id="22" w:name="removed-row"/>
    <w:p>
      <w:pPr>
        <w:pStyle w:val="Heading2"/>
        <w:keepNext/>
        <w:keepLines/>
      </w:pPr>
      <w:r>
        <w:rPr>
          <w:rFonts w:ascii="Calibri" w:hAnsi="Calibri"/>
        </w:rPr>
        <w:t xml:space="preserve">Removed row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C6 (AQP versus matched Qualtrics participant accessibility comparison) is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removed.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withdrawn design confounded presentation structure and did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provide interpretable mechanism-level or score-equivalence evidence.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retained as an unevidenced active claim.</w:t>
      </w:r>
    </w:p>
    <w:bookmarkEnd w:id="22"/>
    <w:bookmarkEnd w:id="23"/>
    <w:sectPr>
      <w:headerReference w:type="default" r:id="rId9"/>
      <w:footerReference w:type="default" r:id="rId10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aSoup-YR/accessible-questionnaire-platform/actions/runs/31399712181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aSoup-YR/accessible-questionnaire-platform/actions/runs/313997121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evaluation matrix v6</dc:title>
  <dc:creator>Yurui Wang</dc:creator>
  <cp:keywords>AQP, evaluation, accessibility, questionnaire</cp:keywords>
  <dcterms:created xsi:type="dcterms:W3CDTF">2026-08-10T16:30:49Z</dcterms:created>
  <dcterms:modified xsi:type="dcterms:W3CDTF">2026-08-10T16:30:49Z</dcterms:modified>
  <dc:subject>Version 6.4 | 10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