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observed-researcher-study-protocol-v12"/>
    <w:p>
      <w:pPr>
        <w:pStyle w:val="Heading1"/>
        <w:keepNext/>
        <w:keepLines/>
        <w:spacing w:before="160" w:after="80"/>
      </w:pPr>
      <w:r>
        <w:rPr>
          <w:rFonts w:ascii="Calibri" w:hAnsi="Calibri"/>
          <w:b/>
          <w:color w:val="000000"/>
          <w:sz w:val="46"/>
        </w:rPr>
        <w:t xml:space="preserve">Observed researcher study protocol v1.2</w:t>
      </w:r>
    </w:p>
    <w:p>
      <w:pPr>
        <w:pStyle w:val="FirstParagraph"/>
      </w:pPr>
      <w:r>
        <w:rPr>
          <w:rFonts w:ascii="Calibri" w:hAnsi="Calibri"/>
          <w:color w:val="59636E"/>
          <w:sz w:val="20"/>
        </w:rPr>
        <w:t xml:space="preserve">Status:</w:t>
      </w:r>
      <w:r>
        <w:rPr>
          <w:rFonts w:ascii="Calibri" w:hAnsi="Calibri"/>
          <w:color w:val="59636E"/>
          <w:sz w:val="20"/>
        </w:rPr>
        <w:t xml:space="preserve"> </w:t>
      </w:r>
      <w:r>
        <w:rPr>
          <w:bCs/>
          <w:rFonts w:ascii="Calibri" w:hAnsi="Calibri"/>
          <w:b/>
          <w:color w:val="59636E"/>
          <w:sz w:val="20"/>
        </w:rPr>
        <w:t xml:space="preserve">planned additional formative study; do not run without approved amendment</w:t>
      </w:r>
      <w:r>
        <w:rPr>
          <w:rFonts w:ascii="Calibri" w:hAnsi="Calibri"/>
          <w:color w:val="59636E"/>
          <w:sz w:val="20"/>
        </w:rPr>
        <w:t xml:space="preserve"> </w:t>
      </w:r>
      <w:r>
        <w:rPr>
          <w:rFonts w:ascii="Calibri" w:hAnsi="Calibri"/>
          <w:color w:val="59636E"/>
          <w:sz w:val="20"/>
        </w:rPr>
        <w:t xml:space="preserve">Protocol revised: 2026-08-10</w:t>
      </w:r>
      <w:r>
        <w:rPr>
          <w:rFonts w:ascii="Calibri" w:hAnsi="Calibri"/>
          <w:color w:val="59636E"/>
          <w:sz w:val="20"/>
        </w:rPr>
        <w:t xml:space="preserve"> </w:t>
      </w:r>
      <w:r>
        <w:rPr>
          <w:rFonts w:ascii="Calibri" w:hAnsi="Calibri"/>
          <w:color w:val="59636E"/>
          <w:sz w:val="20"/>
        </w:rPr>
        <w:t xml:space="preserve">Target sample: 6–8 adults acting as novice questionnaire researchers</w:t>
      </w:r>
      <w:r>
        <w:rPr>
          <w:rFonts w:ascii="Calibri" w:hAnsi="Calibri"/>
          <w:color w:val="59636E"/>
          <w:sz w:val="20"/>
        </w:rPr>
        <w:t xml:space="preserve"> </w:t>
      </w:r>
      <w:r>
        <w:rPr>
          <w:rFonts w:ascii="Calibri" w:hAnsi="Calibri"/>
          <w:color w:val="59636E"/>
          <w:sz w:val="20"/>
        </w:rPr>
        <w:t xml:space="preserve">Analysis: descriptive and per-participant only; no significance testing</w:t>
      </w:r>
    </w:p>
    <w:bookmarkStart w:id="20" w:name="role-in-the-dissertation"/>
    <w:p>
      <w:pPr>
        <w:pStyle w:val="Heading2"/>
        <w:keepNext/>
        <w:keepLines/>
      </w:pPr>
      <w:r>
        <w:rPr>
          <w:rFonts w:ascii="Calibri" w:hAnsi="Calibri"/>
        </w:rPr>
        <w:t xml:space="preserve">Role in the dissertation</w:t>
      </w:r>
    </w:p>
    <w:p>
      <w:pPr>
        <w:pStyle w:val="FirstParagraph"/>
      </w:pPr>
      <w:r>
        <w:rPr>
          <w:rFonts w:ascii="Calibri" w:hAnsi="Calibri"/>
        </w:rPr>
        <w:t xml:space="preserve">The dissertation evaluation is complete without these sessions. Quantified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technical evaluation and the manual assistive-technology audit are the core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evaluation. If the amendment is approved and sessions finish in time, this study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is reported as an additional formative study. Otherwise the protocol is reported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as planned work and the researcher-usability claim remains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Not evidenced</w:t>
      </w:r>
      <w:r>
        <w:rPr>
          <w:rFonts w:ascii="Calibri" w:hAnsi="Calibri"/>
        </w:rPr>
        <w:t xml:space="preserve">.</w:t>
      </w:r>
    </w:p>
    <w:p>
      <w:pPr>
        <w:pStyle w:val="BodyText"/>
      </w:pPr>
      <w:r>
        <w:rPr>
          <w:rFonts w:ascii="Calibri" w:hAnsi="Calibri"/>
        </w:rPr>
        <w:t xml:space="preserve">Submit the amendment by 11 August 2026. If written approval is not in hand by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18 August, do not include sessions in the 21 August draft and do not delay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draft.</w:t>
      </w:r>
    </w:p>
    <w:bookmarkEnd w:id="20"/>
    <w:bookmarkStart w:id="21" w:name="research-questions"/>
    <w:p>
      <w:pPr>
        <w:pStyle w:val="Heading2"/>
        <w:keepNext/>
        <w:keepLines/>
      </w:pPr>
      <w:r>
        <w:rPr>
          <w:rFonts w:ascii="Calibri" w:hAnsi="Calibri"/>
        </w:rPr>
        <w:t xml:space="preserve">Research questions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bCs/>
          <w:rFonts w:ascii="Calibri" w:hAnsi="Calibri"/>
          <w:b/>
        </w:rPr>
        <w:t xml:space="preserve">RQ1: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Can novice questionnaire researchers produce a valid SUS study from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AQP and from a precisely specified Qualtrics template starting state?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bCs/>
          <w:rFonts w:ascii="Calibri" w:hAnsi="Calibri"/>
          <w:b/>
        </w:rPr>
        <w:t xml:space="preserve">RQ2: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What time, assistance and observable errors occur in each whole-tool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workflow?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bCs/>
          <w:rFonts w:ascii="Calibri" w:hAnsi="Calibri"/>
          <w:b/>
        </w:rPr>
        <w:t xml:space="preserve">RQ3: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Can researchers detect one seeded discrepancy while using the AQP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source-review workflow before a participant link is released?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bCs/>
          <w:rFonts w:ascii="Calibri" w:hAnsi="Calibri"/>
          <w:b/>
        </w:rPr>
        <w:t xml:space="preserve">RQ4: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What barriers and improvement suggestions arise during observed use?</w:t>
      </w:r>
    </w:p>
    <w:p>
      <w:pPr>
        <w:pStyle w:val="FirstParagraph"/>
      </w:pPr>
      <w:r>
        <w:rPr>
          <w:rFonts w:ascii="Calibri" w:hAnsi="Calibri"/>
        </w:rPr>
        <w:t xml:space="preserve">This is a formative whole-workflow comparison. It does not isolate one interface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mechanism and does not establish that one platform is generally easier.</w:t>
      </w:r>
    </w:p>
    <w:bookmarkEnd w:id="21"/>
    <w:bookmarkStart w:id="22" w:name="participants"/>
    <w:p>
      <w:pPr>
        <w:pStyle w:val="Heading2"/>
        <w:keepNext/>
        <w:keepLines/>
      </w:pPr>
      <w:r>
        <w:rPr>
          <w:rFonts w:ascii="Calibri" w:hAnsi="Calibri"/>
        </w:rPr>
        <w:t xml:space="preserve">Participants</w:t>
      </w:r>
    </w:p>
    <w:p>
      <w:pPr>
        <w:pStyle w:val="FirstParagraph"/>
      </w:pPr>
      <w:r>
        <w:rPr>
          <w:rFonts w:ascii="Calibri" w:hAnsi="Calibri"/>
        </w:rPr>
        <w:t xml:space="preserve">Eligibility:</w:t>
      </w:r>
    </w:p>
    <w:p>
      <w:pPr>
        <w:numPr>
          <w:ilvl w:val="0"/>
          <w:numId w:val="1002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aged 18 or over;</w:t>
      </w:r>
    </w:p>
    <w:p>
      <w:pPr>
        <w:numPr>
          <w:ilvl w:val="0"/>
          <w:numId w:val="1002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able to use a desktop/laptop browser independently;</w:t>
      </w:r>
    </w:p>
    <w:p>
      <w:pPr>
        <w:numPr>
          <w:ilvl w:val="0"/>
          <w:numId w:val="1002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no prior development work on AQP;</w:t>
      </w:r>
    </w:p>
    <w:p>
      <w:pPr>
        <w:numPr>
          <w:ilvl w:val="0"/>
          <w:numId w:val="1002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novice or occasional questionnaire researcher, operationalised as no more than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two previously configured online questionnaire studies; and</w:t>
      </w:r>
    </w:p>
    <w:p>
      <w:pPr>
        <w:numPr>
          <w:ilvl w:val="0"/>
          <w:numId w:val="1002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able to use the approved session language and consent to screen recording.</w:t>
      </w:r>
    </w:p>
    <w:p>
      <w:pPr>
        <w:pStyle w:val="FirstParagraph"/>
      </w:pPr>
      <w:r>
        <w:rPr>
          <w:rFonts w:ascii="Calibri" w:hAnsi="Calibri"/>
        </w:rPr>
        <w:t xml:space="preserve">Record prior Qualtrics and survey-platform experience before assignment. Do not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exclude a participant after seeing task outcomes. Before recruitment, generate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and freeze eight concealed allocation slots containing four AQ and four QA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assignments, using the preregistered seed and algorithm. Allocate the next slot in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enrolment order. If only 6 or 7 usable sessions result, report the actual order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counts and any imbalance; do not adapt later assignments after seeing outcomes.</w:t>
      </w:r>
    </w:p>
    <w:p>
      <w:pPr>
        <w:pStyle w:val="BodyText"/>
      </w:pPr>
      <w:r>
        <w:rPr>
          <w:rFonts w:ascii="Calibri" w:hAnsi="Calibri"/>
        </w:rPr>
        <w:t xml:space="preserve">A slot may be reused only when the enrolled person withdraws before the order is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revealed and before any condition action or recording begins. Keep the same slot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if that person is rescheduled after a study-owned failure before data collection.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Once a condition action has occurred, do not reuse the slot after withdrawal,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technical failure or exclusion; retain the case disposition and report it. Never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replace a difficult case because of performance.</w:t>
      </w:r>
    </w:p>
    <w:bookmarkEnd w:id="22"/>
    <w:bookmarkStart w:id="29" w:name="frozen-systems-and-starting-states"/>
    <w:p>
      <w:pPr>
        <w:pStyle w:val="Heading2"/>
        <w:keepNext/>
        <w:keepLines/>
      </w:pPr>
      <w:r>
        <w:rPr>
          <w:rFonts w:ascii="Calibri" w:hAnsi="Calibri"/>
        </w:rPr>
        <w:t xml:space="preserve">Frozen systems and starting states</w:t>
      </w:r>
    </w:p>
    <w:p>
      <w:pPr>
        <w:pStyle w:val="FirstParagraph"/>
      </w:pPr>
      <w:r>
        <w:rPr>
          <w:rFonts w:ascii="Calibri" w:hAnsi="Calibri"/>
        </w:rPr>
        <w:t xml:space="preserve">Record the AQP release tag, commit SHA, deployed URL, Qualtrics account type,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template version and browser before the first session. No system update is allowed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mid-study unless a safety-critical defect stops the study; if that occurs, freeze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the affected data and document the protocol deviation.</w:t>
      </w:r>
    </w:p>
    <w:bookmarkStart w:id="23" w:name="X045855340ca008acea8d4506e21d4e319b69008"/>
    <w:p>
      <w:pPr>
        <w:pStyle w:val="Heading3"/>
        <w:keepNext/>
        <w:keepLines/>
      </w:pPr>
      <w:r>
        <w:rPr>
          <w:rFonts w:ascii="Calibri" w:hAnsi="Calibri"/>
        </w:rPr>
        <w:t xml:space="preserve">Activation record — complete before recruitment</w:t>
      </w:r>
    </w:p>
    <w:p>
      <w:pPr>
        <w:pStyle w:val="FirstParagraph"/>
      </w:pPr>
      <w:r>
        <w:rPr>
          <w:rFonts w:ascii="Calibri" w:hAnsi="Calibri"/>
        </w:rPr>
        <w:t xml:space="preserve">The protocol is fully specified but must not be activated until this record is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complete and attached to the preregistration:</w:t>
      </w:r>
    </w:p>
    <w:tbl>
      <w:tblPr>
        <w:tblW w:type="dxa" w:w="9360"/>
        <w:jc w:val="left"/>
        <w:tblLayout w:type="fixed"/>
        <w:tblLook w:firstRow="1" w:lastRow="0" w:firstColumn="0" w:lastColumn="0" w:noHBand="0" w:noVBand="0" w:val="0020"/>
        <w:tblInd w:type="dxa" w:w="120"/>
      </w:tblPr>
      <w:tblGrid>
        <w:gridCol w:w="2880"/>
        <w:gridCol w:w="6480"/>
      </w:tblGrid>
      <w:tr>
        <w:trPr>
          <w:tblHeader w:val="true"/>
          <w:tblHeader w:val="true"/>
          <w:cantSplit/>
        </w:trPr>
        <w:tc>
          <w:tcPr>
            <w:vAlign w:val="top"/>
            <w:tcW w:type="dxa" w:w="28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Gate</w:t>
            </w:r>
          </w:p>
        </w:tc>
        <w:tc>
          <w:tcPr>
            <w:vAlign w:val="top"/>
            <w:tcW w:type="dxa" w:w="64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Required frozen value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Ethics</w:t>
            </w:r>
          </w:p>
        </w:tc>
        <w:tc>
          <w:tcPr>
            <w:tcW w:type="dxa" w:w="64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Approval ID, approving route/committee, written amendment decision and approved document versions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AQP</w:t>
            </w:r>
          </w:p>
        </w:tc>
        <w:tc>
          <w:tcPr>
            <w:tcW w:type="dxa" w:w="64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Immutable release tag, commit SHA, deployment URL and passing evidence-report links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Qualtrics</w:t>
            </w:r>
          </w:p>
        </w:tc>
        <w:tc>
          <w:tcPr>
            <w:tcW w:type="dxa" w:w="64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Survey/template ID,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AQP-SUS-COMPARISON-v1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export checksum, account type and verified starting-state screenshot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End-state map</w:t>
            </w:r>
          </w:p>
        </w:tc>
        <w:tc>
          <w:tcPr>
            <w:tcW w:type="dxa" w:w="64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Approved AQP/Qualtrics checkpoint-map version, synthetic-vector file hash and post-condition measures-sheet version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Preregistration</w:t>
            </w:r>
          </w:p>
        </w:tc>
        <w:tc>
          <w:tcPr>
            <w:tcW w:type="dxa" w:w="64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Public/approved record URL or DOI, timestamp, random seed, generation algorithm and concealed eight-slot AQ/QA allocation list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Recruitment</w:t>
            </w:r>
          </w:p>
        </w:tc>
        <w:tc>
          <w:tcPr>
            <w:tcW w:type="dxa" w:w="64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Approved invitation location, eligibility route and recruitment start/end dates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Recording/storage</w:t>
            </w:r>
          </w:p>
        </w:tc>
        <w:tc>
          <w:tcPr>
            <w:tcW w:type="dxa" w:w="64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Approved meeting/recording tool, exact RDSS project path, transfer check and deletion log location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Coding</w:t>
            </w:r>
          </w:p>
        </w:tc>
        <w:tc>
          <w:tcPr>
            <w:tcW w:type="dxa" w:w="64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Named UCL second coder, role, confidentiality/access approval and two recordings selected before outcome review</w:t>
            </w:r>
          </w:p>
        </w:tc>
      </w:tr>
    </w:tbl>
    <w:p>
      <w:pPr>
        <w:pStyle w:val="BodyText"/>
      </w:pPr>
      <w:r>
        <w:rPr>
          <w:rFonts w:ascii="Calibri" w:hAnsi="Calibri"/>
        </w:rPr>
        <w:t xml:space="preserve">An empty gate means the study remains planned work. Do not infer a value from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software repository or replace it with a placeholder during a live session.</w:t>
      </w:r>
    </w:p>
    <w:bookmarkEnd w:id="23"/>
    <w:bookmarkStart w:id="24" w:name="condition-a--aqp-ready-made-sus-route"/>
    <w:p>
      <w:pPr>
        <w:pStyle w:val="Heading3"/>
        <w:keepNext/>
        <w:keepLines/>
      </w:pPr>
      <w:r>
        <w:rPr>
          <w:rFonts w:ascii="Calibri" w:hAnsi="Calibri"/>
        </w:rPr>
        <w:t xml:space="preserve">Condition A — AQP ready-made SUS route</w:t>
      </w:r>
    </w:p>
    <w:p>
      <w:pPr>
        <w:pStyle w:val="FirstParagraph"/>
      </w:pPr>
      <w:r>
        <w:rPr>
          <w:rFonts w:ascii="Calibri" w:hAnsi="Calibri"/>
        </w:rPr>
        <w:t xml:space="preserve">Starting state: the researcher opens the AQP researcher landing page with no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saved setup.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System Usability Scale (SUS)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is available in the built-in instrument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catalogue. Its 10 items, 1–5 response codes and executable SUS scorer are already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part of the named release. No study title, task, participant code or participant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link has been configured. The required collection end state is frozen as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This browser only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(</w:t>
      </w:r>
      <w:r>
        <w:rPr>
          <w:rStyle w:val="VerbatimChar"/>
          <w:rFonts w:ascii="Calibri" w:hAnsi="Calibri"/>
        </w:rPr>
        <w:t xml:space="preserve">collection.mode = local</w:t>
      </w:r>
      <w:r>
        <w:rPr>
          <w:rFonts w:ascii="Calibri" w:hAnsi="Calibri"/>
        </w:rPr>
        <w:t xml:space="preserve">); participants may not choose a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different collection route.</w:t>
      </w:r>
    </w:p>
    <w:bookmarkEnd w:id="24"/>
    <w:bookmarkStart w:id="25" w:name="X9a79536d6f0e85d0c1186bf1527e7e9f5444e34"/>
    <w:p>
      <w:pPr>
        <w:pStyle w:val="Heading3"/>
        <w:keepNext/>
        <w:keepLines/>
      </w:pPr>
      <w:r>
        <w:rPr>
          <w:rFonts w:ascii="Calibri" w:hAnsi="Calibri"/>
        </w:rPr>
        <w:t xml:space="preserve">Condition Q — Qualtrics SUS template route</w:t>
      </w:r>
    </w:p>
    <w:p>
      <w:pPr>
        <w:pStyle w:val="FirstParagraph"/>
      </w:pPr>
      <w:r>
        <w:rPr>
          <w:rFonts w:ascii="Calibri" w:hAnsi="Calibri"/>
        </w:rPr>
        <w:t xml:space="preserve">Starting state: the researcher is already authenticated in the approved UCL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Qualtrics account and opens a fresh copy of the frozen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AQP-SUS-COMPARISON-v1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template. The template contains the same 10 original SUS items in the same order,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1–5 response values, required-response setting, one question per page and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pre-verified Brooke score calculation. It contains a blank first-page descriptive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text placeholder and an empty Survey Flow Embedded Data field named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participant_code</w:t>
      </w:r>
      <w:r>
        <w:rPr>
          <w:rFonts w:ascii="Calibri" w:hAnsi="Calibri"/>
        </w:rPr>
        <w:t xml:space="preserve">, but no study-specific title/task, code value or distribution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link. The library/template is explicitly available; participants are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not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asked to type ten items from scratch.</w:t>
      </w:r>
    </w:p>
    <w:p>
      <w:pPr>
        <w:pStyle w:val="BodyText"/>
      </w:pPr>
      <w:r>
        <w:rPr>
          <w:rFonts w:ascii="Calibri" w:hAnsi="Calibri"/>
        </w:rPr>
        <w:t xml:space="preserve">This starting state is chosen because it matches a realistic ready-made route in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both systems. The AQP scorer being executable platform code and the Qualtrics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formula being frozen template content are declared system differences. Therefore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time differences describe these two whole starting states, not an isolated effect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of the AQP wizard.</w:t>
      </w:r>
    </w:p>
    <w:bookmarkEnd w:id="25"/>
    <w:bookmarkStart w:id="26" w:name="required-end-state-for-both-conditions"/>
    <w:p>
      <w:pPr>
        <w:pStyle w:val="Heading3"/>
        <w:keepNext/>
        <w:keepLines/>
      </w:pPr>
      <w:r>
        <w:rPr>
          <w:rFonts w:ascii="Calibri" w:hAnsi="Calibri"/>
        </w:rPr>
        <w:t xml:space="preserve">Required end state for both conditions</w:t>
      </w:r>
    </w:p>
    <w:p>
      <w:pPr>
        <w:pStyle w:val="FirstParagraph"/>
      </w:pPr>
      <w:r>
        <w:rPr>
          <w:rFonts w:ascii="Calibri" w:hAnsi="Calibri"/>
        </w:rPr>
        <w:t xml:space="preserve">The participant must produce a working participant link for:</w:t>
      </w:r>
    </w:p>
    <w:p>
      <w:pPr>
        <w:numPr>
          <w:ilvl w:val="0"/>
          <w:numId w:val="1003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study title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Researcher setup comparison</w:t>
      </w:r>
      <w:r>
        <w:rPr>
          <w:rFonts w:ascii="Calibri" w:hAnsi="Calibri"/>
        </w:rPr>
        <w:t xml:space="preserve">;</w:t>
      </w:r>
    </w:p>
    <w:p>
      <w:pPr>
        <w:numPr>
          <w:ilvl w:val="0"/>
          <w:numId w:val="1003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task label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Use the test product, then answer SUS</w:t>
      </w:r>
      <w:r>
        <w:rPr>
          <w:rFonts w:ascii="Calibri" w:hAnsi="Calibri"/>
        </w:rPr>
        <w:t xml:space="preserve">;</w:t>
      </w:r>
    </w:p>
    <w:p>
      <w:pPr>
        <w:numPr>
          <w:ilvl w:val="0"/>
          <w:numId w:val="1003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pseudonymous participant code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RESEARCHER-DEMO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supplied through the approved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route rather than a person's name/email;</w:t>
      </w:r>
    </w:p>
    <w:p>
      <w:pPr>
        <w:numPr>
          <w:ilvl w:val="0"/>
          <w:numId w:val="1003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ten original SUS items in frozen order;</w:t>
      </w:r>
    </w:p>
    <w:p>
      <w:pPr>
        <w:numPr>
          <w:ilvl w:val="0"/>
          <w:numId w:val="1003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stored response values 1–5 with endpoints Strongly disagree/Strongly agree;</w:t>
      </w:r>
    </w:p>
    <w:p>
      <w:pPr>
        <w:numPr>
          <w:ilvl w:val="0"/>
          <w:numId w:val="1003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every item required;</w:t>
      </w:r>
    </w:p>
    <w:p>
      <w:pPr>
        <w:numPr>
          <w:ilvl w:val="0"/>
          <w:numId w:val="1003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one question per screen;</w:t>
      </w:r>
    </w:p>
    <w:p>
      <w:pPr>
        <w:numPr>
          <w:ilvl w:val="0"/>
          <w:numId w:val="1003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Brooke SUS score named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SUS score</w:t>
      </w:r>
      <w:r>
        <w:rPr>
          <w:rFonts w:ascii="Calibri" w:hAnsi="Calibri"/>
        </w:rPr>
        <w:t xml:space="preserve">; and</w:t>
      </w:r>
    </w:p>
    <w:p>
      <w:pPr>
        <w:numPr>
          <w:ilvl w:val="0"/>
          <w:numId w:val="1003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a result/export route containing the ten final item values and computed score.</w:t>
      </w:r>
    </w:p>
    <w:p>
      <w:pPr>
        <w:pStyle w:val="FirstParagraph"/>
      </w:pPr>
      <w:r>
        <w:rPr>
          <w:rFonts w:ascii="Calibri" w:hAnsi="Calibri"/>
        </w:rPr>
        <w:t xml:space="preserve">The participant's timed task is configuration only. They do not answer SUS as part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of the timed setup. Timing stops when they declare the setup complete or reach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limit. The observer then performs the frozen, untimed synthetic verification below.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 page saying “complete” is not sufficient.</w:t>
      </w:r>
    </w:p>
    <w:bookmarkEnd w:id="26"/>
    <w:bookmarkStart w:id="27" w:name="frozen-condition-to-checkpoint-mapping"/>
    <w:p>
      <w:pPr>
        <w:pStyle w:val="Heading3"/>
        <w:keepNext/>
        <w:keepLines/>
      </w:pPr>
      <w:r>
        <w:rPr>
          <w:rFonts w:ascii="Calibri" w:hAnsi="Calibri"/>
        </w:rPr>
        <w:t xml:space="preserve">Frozen condition-to-checkpoint mapping</w:t>
      </w:r>
    </w:p>
    <w:tbl>
      <w:tblPr>
        <w:tblW w:type="dxa" w:w="9360"/>
        <w:jc w:val="left"/>
        <w:tblLayout w:type="fixed"/>
        <w:tblLook w:firstRow="1" w:lastRow="0" w:firstColumn="0" w:lastColumn="0" w:noHBand="0" w:noVBand="0" w:val="0020"/>
        <w:tblInd w:type="dxa" w:w="120"/>
      </w:tblPr>
      <w:tblGrid>
        <w:gridCol w:w="2880"/>
        <w:gridCol w:w="3168"/>
        <w:gridCol w:w="3312"/>
      </w:tblGrid>
      <w:tr>
        <w:trPr>
          <w:tblHeader w:val="true"/>
          <w:tblHeader w:val="true"/>
          <w:cantSplit/>
        </w:trPr>
        <w:tc>
          <w:tcPr>
            <w:vAlign w:val="top"/>
            <w:tcW w:type="dxa" w:w="28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Requirement</w:t>
            </w:r>
          </w:p>
        </w:tc>
        <w:tc>
          <w:tcPr>
            <w:vAlign w:val="top"/>
            <w:tcW w:type="dxa" w:w="316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AQP observable pass</w:t>
            </w:r>
          </w:p>
        </w:tc>
        <w:tc>
          <w:tcPr>
            <w:vAlign w:val="top"/>
            <w:tcW w:type="dxa" w:w="331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Qualtrics observable pass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Study title and task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Generated participant page shows the exact title and task from the configuration.</w:t>
            </w:r>
          </w:p>
        </w:tc>
        <w:tc>
          <w:tcPr>
            <w:tcW w:type="dxa" w:w="33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Project is named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Researcher setup comparison</w:t>
            </w:r>
            <w:r>
              <w:rPr>
                <w:rFonts w:ascii="Calibri" w:hAnsi="Calibri"/>
                <w:sz w:val="18"/>
              </w:rPr>
              <w:t xml:space="preserve">; the first visible descriptive-text page shows the exact title and task.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Participant code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Generated participant-specific link opens with editable code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RESEARCHER-DEMO</w:t>
            </w:r>
            <w:r>
              <w:rPr>
                <w:rFonts w:ascii="Calibri" w:hAnsi="Calibri"/>
                <w:sz w:val="18"/>
              </w:rPr>
              <w:t xml:space="preserve">; configuration uses local collection.</w:t>
            </w:r>
          </w:p>
        </w:tc>
        <w:tc>
          <w:tcPr>
            <w:tcW w:type="dxa" w:w="33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Anonymous distribution link carries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participant_code=RESEARCHER-DEMO</w:t>
            </w:r>
            <w:r>
              <w:rPr>
                <w:rFonts w:ascii="Calibri" w:hAnsi="Calibri"/>
                <w:sz w:val="18"/>
              </w:rPr>
              <w:t xml:space="preserve">; the response row stores that exact value in the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participant_code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Embedded Data field.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Instrument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Built-in SUS displays the frozen 10 items in order, values 1–5 and endpoint anchors.</w:t>
            </w:r>
          </w:p>
        </w:tc>
        <w:tc>
          <w:tcPr>
            <w:tcW w:type="dxa" w:w="33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Frozen template retains the same 10 items/order, numeric values and endpoint anchors.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Required/paging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Runner requires each item and presents one item per screen.</w:t>
            </w:r>
          </w:p>
        </w:tc>
        <w:tc>
          <w:tcPr>
            <w:tcW w:type="dxa" w:w="33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Force Response remains enabled for all 10 items and each item has its own page break.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Score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Completed synthetic response reports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SUS score = 50</w:t>
            </w:r>
            <w:r>
              <w:rPr>
                <w:rFonts w:ascii="Calibri" w:hAnsi="Calibri"/>
                <w:sz w:val="18"/>
              </w:rPr>
              <w:t xml:space="preserve">.</w:t>
            </w:r>
          </w:p>
        </w:tc>
        <w:tc>
          <w:tcPr>
            <w:tcW w:type="dxa" w:w="33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Synthetic Data &amp; Analysis row/export contains the frozen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SUS score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field with value 50.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Export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The same-browser conductor result export contains all 10 item values, participant code and score.</w:t>
            </w:r>
          </w:p>
        </w:tc>
        <w:tc>
          <w:tcPr>
            <w:tcW w:type="dxa" w:w="33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 CSV export of the synthetic row contains all 10 item values, participant code and score.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Working link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Link opens the generated local participant page in a separate tab in the same browser.</w:t>
            </w:r>
          </w:p>
        </w:tc>
        <w:tc>
          <w:tcPr>
            <w:tcW w:type="dxa" w:w="33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Anonymous distribution link opens the published survey without editor authentication.</w:t>
            </w:r>
          </w:p>
        </w:tc>
      </w:tr>
    </w:tbl>
    <w:p>
      <w:pPr>
        <w:pStyle w:val="BodyText"/>
      </w:pPr>
      <w:r>
        <w:rPr>
          <w:rFonts w:ascii="Calibri" w:hAnsi="Calibri"/>
        </w:rPr>
        <w:t xml:space="preserve">These are whole-tool end states, not claims that the two implementations expose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identical controls or collection architecture.</w:t>
      </w:r>
    </w:p>
    <w:bookmarkEnd w:id="27"/>
    <w:bookmarkStart w:id="28" w:name="untimed-observer-verification"/>
    <w:p>
      <w:pPr>
        <w:pStyle w:val="Heading3"/>
        <w:keepNext/>
        <w:keepLines/>
      </w:pPr>
      <w:r>
        <w:rPr>
          <w:rFonts w:ascii="Calibri" w:hAnsi="Calibri"/>
        </w:rPr>
        <w:t xml:space="preserve">Untimed observer verification</w:t>
      </w:r>
    </w:p>
    <w:p>
      <w:pPr>
        <w:pStyle w:val="FirstParagraph"/>
      </w:pPr>
      <w:r>
        <w:rPr>
          <w:rFonts w:ascii="Calibri" w:hAnsi="Calibri"/>
        </w:rPr>
        <w:t xml:space="preserve">After both timed conditions and their immediate post-condition measures,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observer opens each preserved link and submits the same fixed synthetic vector:</w:t>
      </w:r>
    </w:p>
    <w:p>
      <w:pPr>
        <w:pStyle w:val="BodyText"/>
      </w:pPr>
      <w:r>
        <w:rPr>
          <w:rStyle w:val="VerbatimChar"/>
          <w:rFonts w:ascii="Calibri" w:hAnsi="Calibri"/>
        </w:rPr>
        <w:t xml:space="preserve">5, 1, 4, 2, 3, 5, 1, 4, 2, 3</w:t>
      </w:r>
    </w:p>
    <w:p>
      <w:pPr>
        <w:pStyle w:val="BodyText"/>
      </w:pPr>
      <w:r>
        <w:rPr>
          <w:rFonts w:ascii="Calibri" w:hAnsi="Calibri"/>
        </w:rPr>
        <w:t xml:space="preserve">The expected Brooke SUS score is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50</w:t>
      </w:r>
      <w:r>
        <w:rPr>
          <w:rFonts w:ascii="Calibri" w:hAnsi="Calibri"/>
        </w:rPr>
        <w:t xml:space="preserve">. The observer then checks every mapped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checkpoint and exports the resulting record. Observer actions and verification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time are excluded from participant active time and are not assists. The observer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must not repair the artefact. A participant configuration error that prevents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synthetic submission, changes an expected value/score/identity, or prevents export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causes the corresponding checkpoint to fail.</w:t>
      </w:r>
    </w:p>
    <w:bookmarkEnd w:id="28"/>
    <w:bookmarkEnd w:id="29"/>
    <w:bookmarkStart w:id="30" w:name="design-and-counterbalancing"/>
    <w:p>
      <w:pPr>
        <w:pStyle w:val="Heading2"/>
        <w:keepNext/>
        <w:keepLines/>
      </w:pPr>
      <w:r>
        <w:rPr>
          <w:rFonts w:ascii="Calibri" w:hAnsi="Calibri"/>
        </w:rPr>
        <w:t xml:space="preserve">Design and counterbalancing</w:t>
      </w:r>
    </w:p>
    <w:p>
      <w:pPr>
        <w:pStyle w:val="FirstParagraph"/>
      </w:pPr>
      <w:r>
        <w:rPr>
          <w:rFonts w:ascii="Calibri" w:hAnsi="Calibri"/>
        </w:rPr>
        <w:t xml:space="preserve">Use a within-participant A/Q design.</w:t>
      </w:r>
    </w:p>
    <w:tbl>
      <w:tblPr>
        <w:tblW w:type="dxa" w:w="9360"/>
        <w:jc w:val="left"/>
        <w:tblLayout w:type="fixed"/>
        <w:tblLook w:firstRow="1" w:lastRow="0" w:firstColumn="0" w:lastColumn="0" w:noHBand="0" w:noVBand="0" w:val="0020"/>
        <w:tblInd w:type="dxa" w:w="120"/>
      </w:tblPr>
      <w:tblGrid>
        <w:gridCol w:w="2880"/>
        <w:gridCol w:w="3168"/>
        <w:gridCol w:w="3312"/>
      </w:tblGrid>
      <w:tr>
        <w:trPr>
          <w:tblHeader w:val="true"/>
          <w:tblHeader w:val="true"/>
          <w:cantSplit/>
        </w:trPr>
        <w:tc>
          <w:tcPr>
            <w:vAlign w:val="top"/>
            <w:tcW w:type="dxa" w:w="28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Assignment</w:t>
            </w:r>
          </w:p>
        </w:tc>
        <w:tc>
          <w:tcPr>
            <w:vAlign w:val="top"/>
            <w:tcW w:type="dxa" w:w="316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First condition</w:t>
            </w:r>
          </w:p>
        </w:tc>
        <w:tc>
          <w:tcPr>
            <w:vAlign w:val="top"/>
            <w:tcW w:type="dxa" w:w="331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Second condition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AQ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AQP</w:t>
            </w:r>
          </w:p>
        </w:tc>
        <w:tc>
          <w:tcPr>
            <w:tcW w:type="dxa" w:w="33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Qualtrics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QA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Qualtrics</w:t>
            </w:r>
          </w:p>
        </w:tc>
        <w:tc>
          <w:tcPr>
            <w:tcW w:type="dxa" w:w="33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AQP</w:t>
            </w:r>
          </w:p>
        </w:tc>
      </w:tr>
    </w:tbl>
    <w:p>
      <w:pPr>
        <w:pStyle w:val="BodyText"/>
      </w:pPr>
      <w:r>
        <w:rPr>
          <w:rFonts w:ascii="Calibri" w:hAnsi="Calibri"/>
        </w:rPr>
        <w:t xml:space="preserve">Before recruitment, create eight slots containing four AQ and four QA assignments,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randomise their order using the frozen seed and algorithm, and seal the list.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next assignment remains concealed until enrolment. Publish the seed, algorithm and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final list with the preregistration or its time-stamped private appendix, according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to the approved concealment route. Each participant uses the same fixed task and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required end state in both conditions. The slot-reuse rule in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Participants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part of the preregistration.</w:t>
      </w:r>
    </w:p>
    <w:bookmarkEnd w:id="30"/>
    <w:bookmarkStart w:id="31" w:name="observed-procedure"/>
    <w:p>
      <w:pPr>
        <w:pStyle w:val="Heading2"/>
        <w:keepNext/>
        <w:keepLines/>
      </w:pPr>
      <w:r>
        <w:rPr>
          <w:rFonts w:ascii="Calibri" w:hAnsi="Calibri"/>
        </w:rPr>
        <w:t xml:space="preserve">Observed procedure</w:t>
      </w:r>
    </w:p>
    <w:p>
      <w:pPr>
        <w:numPr>
          <w:ilvl w:val="0"/>
          <w:numId w:val="1004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Confirm approved information-sheet version, active consent and permission to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record the study window and audio needed for coding.</w:t>
      </w:r>
    </w:p>
    <w:p>
      <w:pPr>
        <w:numPr>
          <w:ilvl w:val="0"/>
          <w:numId w:val="1004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Ask the participant to close unrelated windows and notifications. Remind them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that their own machine may still reveal names, tabs, notifications or file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paths in a recording.</w:t>
      </w:r>
    </w:p>
    <w:p>
      <w:pPr>
        <w:numPr>
          <w:ilvl w:val="0"/>
          <w:numId w:val="1004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Record experience, assigned order, device, OS and browser.</w:t>
      </w:r>
    </w:p>
    <w:p>
      <w:pPr>
        <w:numPr>
          <w:ilvl w:val="0"/>
          <w:numId w:val="1004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Read the fixed introduction script. Give the first condition task sheet.</w:t>
      </w:r>
    </w:p>
    <w:p>
      <w:pPr>
        <w:numPr>
          <w:ilvl w:val="0"/>
          <w:numId w:val="1004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Start time when the participant says they understand the task and first acts 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the system. Observe without coaching.</w:t>
      </w:r>
    </w:p>
    <w:p>
      <w:pPr>
        <w:numPr>
          <w:ilvl w:val="0"/>
          <w:numId w:val="1004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End time when the participant declares the setup complete or reaches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20-minute condition limit. Do not wait for observer verification.</w:t>
      </w:r>
    </w:p>
    <w:p>
      <w:pPr>
        <w:numPr>
          <w:ilvl w:val="0"/>
          <w:numId w:val="1004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Before discussion or feedback, administer the fixed post-condition sheet for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that system: SEQ first, then all ten SUS items. Record missing items; do not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impute a score.</w:t>
      </w:r>
    </w:p>
    <w:p>
      <w:pPr>
        <w:numPr>
          <w:ilvl w:val="0"/>
          <w:numId w:val="1004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Preserve the generated link/configuration without discussing or verifying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result, then repeat steps 4–7 for the other condition.</w:t>
      </w:r>
    </w:p>
    <w:p>
      <w:pPr>
        <w:numPr>
          <w:ilvl w:val="0"/>
          <w:numId w:val="1004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Without asking the participant to act and without revealing pass/fail, run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untimed synthetic verification for both preserved setups and freeze both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checkpoint vectors. Do not discuss the result or ask open feedback questions.</w:t>
      </w:r>
    </w:p>
    <w:p>
      <w:pPr>
        <w:numPr>
          <w:ilvl w:val="0"/>
          <w:numId w:val="1004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Run the separate AQP planted-discrepancy task below.</w:t>
      </w:r>
    </w:p>
    <w:p>
      <w:pPr>
        <w:numPr>
          <w:ilvl w:val="0"/>
          <w:numId w:val="1004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Debrief the discrepancy immediately. Only after that debrief, collect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three fixed formative open responses; label them as post-debrief data and do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not use them as discrepancy-detection evidence.</w:t>
      </w:r>
    </w:p>
    <w:p>
      <w:pPr>
        <w:numPr>
          <w:ilvl w:val="0"/>
          <w:numId w:val="1004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Stop recording, confirm the withdrawal route and securely transfer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recording.</w:t>
      </w:r>
    </w:p>
    <w:bookmarkEnd w:id="31"/>
    <w:bookmarkStart w:id="32" w:name="fixed-observer-script"/>
    <w:p>
      <w:pPr>
        <w:pStyle w:val="Heading2"/>
        <w:keepNext/>
        <w:keepLines/>
      </w:pPr>
      <w:r>
        <w:rPr>
          <w:rFonts w:ascii="Calibri" w:hAnsi="Calibri"/>
        </w:rPr>
        <w:t xml:space="preserve">Fixed observer script</w:t>
      </w:r>
    </w:p>
    <w:p>
      <w:pPr>
        <w:pStyle w:val="FirstParagraph"/>
      </w:pPr>
      <w:r>
        <w:rPr>
          <w:rFonts w:ascii="Calibri" w:hAnsi="Calibri"/>
        </w:rPr>
        <w:t xml:space="preserve">Opening:</w:t>
      </w:r>
    </w:p>
    <w:p>
      <w:pPr>
        <w:pStyle w:val="BlockText"/>
        <w:spacing w:before="80" w:after="160"/>
        <w:ind w:left="432" w:right="216"/>
      </w:pPr>
      <w:r>
        <w:rPr>
          <w:rFonts w:ascii="Calibri" w:hAnsi="Calibri"/>
          <w:i/>
          <w:color w:val="1F4D78"/>
          <w:sz w:val="20"/>
        </w:rPr>
        <w:t xml:space="preserve">We are testing the setup workflows, not you. Please work as you normally would.</w:t>
      </w:r>
      <w:r>
        <w:rPr>
          <w:rFonts w:ascii="Calibri" w:hAnsi="Calibri"/>
          <w:i/>
          <w:color w:val="1F4D78"/>
          <w:sz w:val="20"/>
        </w:rPr>
        <w:t xml:space="preserve"> </w:t>
      </w:r>
      <w:r>
        <w:rPr>
          <w:rFonts w:ascii="Calibri" w:hAnsi="Calibri"/>
          <w:i/>
          <w:color w:val="1F4D78"/>
          <w:sz w:val="20"/>
        </w:rPr>
        <w:t xml:space="preserve">You may speak aloud if you want, but you do not have to. I will not tell you how</w:t>
      </w:r>
      <w:r>
        <w:rPr>
          <w:rFonts w:ascii="Calibri" w:hAnsi="Calibri"/>
          <w:i/>
          <w:color w:val="1F4D78"/>
          <w:sz w:val="20"/>
        </w:rPr>
        <w:t xml:space="preserve"> </w:t>
      </w:r>
      <w:r>
        <w:rPr>
          <w:rFonts w:ascii="Calibri" w:hAnsi="Calibri"/>
          <w:i/>
          <w:color w:val="1F4D78"/>
          <w:sz w:val="20"/>
        </w:rPr>
        <w:t xml:space="preserve">to complete a step. If you ask for help, I may first repeat the task. You can</w:t>
      </w:r>
      <w:r>
        <w:rPr>
          <w:rFonts w:ascii="Calibri" w:hAnsi="Calibri"/>
          <w:i/>
          <w:color w:val="1F4D78"/>
          <w:sz w:val="20"/>
        </w:rPr>
        <w:t xml:space="preserve"> </w:t>
      </w:r>
      <w:r>
        <w:rPr>
          <w:rFonts w:ascii="Calibri" w:hAnsi="Calibri"/>
          <w:i/>
          <w:color w:val="1F4D78"/>
          <w:sz w:val="20"/>
        </w:rPr>
        <w:t xml:space="preserve">pause or stop at any time.</w:t>
      </w:r>
    </w:p>
    <w:p>
      <w:pPr>
        <w:pStyle w:val="FirstParagraph"/>
      </w:pPr>
      <w:r>
        <w:rPr>
          <w:rFonts w:ascii="Calibri" w:hAnsi="Calibri"/>
        </w:rPr>
        <w:t xml:space="preserve">Permitted neutral prompts, used only after 20 seconds of silence or when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participant asks what the task means:</w:t>
      </w:r>
    </w:p>
    <w:p>
      <w:pPr>
        <w:numPr>
          <w:ilvl w:val="0"/>
          <w:numId w:val="1005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“Please continue in the way that makes most sense to you.”</w:t>
      </w:r>
    </w:p>
    <w:p>
      <w:pPr>
        <w:numPr>
          <w:ilvl w:val="0"/>
          <w:numId w:val="1005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“What are you trying to do now?”</w:t>
      </w:r>
    </w:p>
    <w:p>
      <w:pPr>
        <w:numPr>
          <w:ilvl w:val="0"/>
          <w:numId w:val="1005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“I can repeat the task wording, but I cannot tell you which control to use.”</w:t>
      </w:r>
    </w:p>
    <w:p>
      <w:pPr>
        <w:pStyle w:val="FirstParagraph"/>
      </w:pPr>
      <w:r>
        <w:rPr>
          <w:rFonts w:ascii="Calibri" w:hAnsi="Calibri"/>
        </w:rPr>
        <w:t xml:space="preserve">The observer must not name a control, point, take control, validate an unfinished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choice or reveal the planted discrepancy before the task ends.</w:t>
      </w:r>
    </w:p>
    <w:bookmarkEnd w:id="32"/>
    <w:bookmarkStart w:id="37" w:name="outcome-definitions"/>
    <w:p>
      <w:pPr>
        <w:pStyle w:val="Heading2"/>
        <w:keepNext/>
        <w:keepLines/>
      </w:pPr>
      <w:r>
        <w:rPr>
          <w:rFonts w:ascii="Calibri" w:hAnsi="Calibri"/>
        </w:rPr>
        <w:t xml:space="preserve">Outcome definitions</w:t>
      </w:r>
    </w:p>
    <w:bookmarkStart w:id="33" w:name="task-success"/>
    <w:p>
      <w:pPr>
        <w:pStyle w:val="Heading3"/>
        <w:keepNext/>
        <w:keepLines/>
      </w:pPr>
      <w:r>
        <w:rPr>
          <w:rFonts w:ascii="Calibri" w:hAnsi="Calibri"/>
        </w:rPr>
        <w:t xml:space="preserve">Task success</w:t>
      </w:r>
    </w:p>
    <w:p>
      <w:pPr>
        <w:numPr>
          <w:ilvl w:val="0"/>
          <w:numId w:val="1006"/>
        </w:numPr>
        <w:pStyle w:val="Compact"/>
        <w:spacing w:after="160" w:line="280" w:lineRule="auto"/>
        <w:ind w:left="720" w:hanging="360"/>
      </w:pPr>
      <w:r>
        <w:rPr>
          <w:bCs/>
          <w:rFonts w:ascii="Calibri" w:hAnsi="Calibri"/>
          <w:b/>
        </w:rPr>
        <w:t xml:space="preserve">Success without assist: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all required end-state checks pass within 20 minutes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and no assist occurred.</w:t>
      </w:r>
    </w:p>
    <w:p>
      <w:pPr>
        <w:numPr>
          <w:ilvl w:val="0"/>
          <w:numId w:val="1006"/>
        </w:numPr>
        <w:pStyle w:val="Compact"/>
        <w:spacing w:after="160" w:line="280" w:lineRule="auto"/>
        <w:ind w:left="720" w:hanging="360"/>
      </w:pPr>
      <w:r>
        <w:rPr>
          <w:bCs/>
          <w:rFonts w:ascii="Calibri" w:hAnsi="Calibri"/>
          <w:b/>
        </w:rPr>
        <w:t xml:space="preserve">Success with assist: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all checks pass within 20 minutes after one or more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assists. This is not counted as independent success.</w:t>
      </w:r>
    </w:p>
    <w:p>
      <w:pPr>
        <w:numPr>
          <w:ilvl w:val="0"/>
          <w:numId w:val="1006"/>
        </w:numPr>
        <w:pStyle w:val="Compact"/>
        <w:spacing w:after="160" w:line="280" w:lineRule="auto"/>
        <w:ind w:left="720" w:hanging="360"/>
      </w:pPr>
      <w:r>
        <w:rPr>
          <w:bCs/>
          <w:rFonts w:ascii="Calibri" w:hAnsi="Calibri"/>
          <w:b/>
        </w:rPr>
        <w:t xml:space="preserve">Failure: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time limit reached, participant stops, a required check fails, or a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critical error remains in the final artefact.</w:t>
      </w:r>
    </w:p>
    <w:bookmarkEnd w:id="33"/>
    <w:bookmarkStart w:id="34" w:name="assist"/>
    <w:p>
      <w:pPr>
        <w:pStyle w:val="Heading3"/>
        <w:keepNext/>
        <w:keepLines/>
      </w:pPr>
      <w:r>
        <w:rPr>
          <w:rFonts w:ascii="Calibri" w:hAnsi="Calibri"/>
        </w:rPr>
        <w:t xml:space="preserve">Assist</w:t>
      </w:r>
    </w:p>
    <w:p>
      <w:pPr>
        <w:pStyle w:val="FirstParagraph"/>
      </w:pPr>
      <w:r>
        <w:rPr>
          <w:rFonts w:ascii="Calibri" w:hAnsi="Calibri"/>
        </w:rPr>
        <w:t xml:space="preserve">An assist is any observer action that adds procedural or factual information not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contained in the task sheet: naming a control, giving a navigation path, explaining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how scoring is configured, pointing, taking control or confirming that a choice is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correct before final verification. Repeating the task verbatim, asking a permitted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neutral prompt, resolving a study-owned login/outage or granting an approved break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is not an assist. Record timestamp, exact words, trigger and category.</w:t>
      </w:r>
    </w:p>
    <w:bookmarkEnd w:id="34"/>
    <w:bookmarkStart w:id="35" w:name="error"/>
    <w:p>
      <w:pPr>
        <w:pStyle w:val="Heading3"/>
        <w:keepNext/>
        <w:keepLines/>
      </w:pPr>
      <w:r>
        <w:rPr>
          <w:rFonts w:ascii="Calibri" w:hAnsi="Calibri"/>
        </w:rPr>
        <w:t xml:space="preserve">Error</w:t>
      </w:r>
    </w:p>
    <w:p>
      <w:pPr>
        <w:pStyle w:val="FirstParagraph"/>
      </w:pPr>
      <w:r>
        <w:rPr>
          <w:rFonts w:ascii="Calibri" w:hAnsi="Calibri"/>
        </w:rPr>
        <w:t xml:space="preserve">An error is an observable participant action that must be reversed/corrected or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would produce an invalid end state if left unchanged. Categories:</w:t>
      </w:r>
    </w:p>
    <w:p>
      <w:pPr>
        <w:numPr>
          <w:ilvl w:val="0"/>
          <w:numId w:val="1007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content/order error;</w:t>
      </w:r>
    </w:p>
    <w:p>
      <w:pPr>
        <w:numPr>
          <w:ilvl w:val="0"/>
          <w:numId w:val="1007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response-label or stored-value error;</w:t>
      </w:r>
    </w:p>
    <w:p>
      <w:pPr>
        <w:numPr>
          <w:ilvl w:val="0"/>
          <w:numId w:val="1007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required-status error;</w:t>
      </w:r>
    </w:p>
    <w:p>
      <w:pPr>
        <w:numPr>
          <w:ilvl w:val="0"/>
          <w:numId w:val="1007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scoring/name error;</w:t>
      </w:r>
    </w:p>
    <w:p>
      <w:pPr>
        <w:numPr>
          <w:ilvl w:val="0"/>
          <w:numId w:val="1007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participant-code/data-handling error;</w:t>
      </w:r>
    </w:p>
    <w:p>
      <w:pPr>
        <w:numPr>
          <w:ilvl w:val="0"/>
          <w:numId w:val="1007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collection/link error;</w:t>
      </w:r>
    </w:p>
    <w:p>
      <w:pPr>
        <w:numPr>
          <w:ilvl w:val="0"/>
          <w:numId w:val="1007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navigation error (enters an irrelevant route and must return); or</w:t>
      </w:r>
    </w:p>
    <w:p>
      <w:pPr>
        <w:numPr>
          <w:ilvl w:val="0"/>
          <w:numId w:val="1007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false completion (declares done while one or more required checks fail).</w:t>
      </w:r>
    </w:p>
    <w:p>
      <w:pPr>
        <w:pStyle w:val="FirstParagraph"/>
      </w:pPr>
      <w:r>
        <w:rPr>
          <w:rFonts w:ascii="Calibri" w:hAnsi="Calibri"/>
        </w:rPr>
        <w:t xml:space="preserve">Exploration that does not change state and ordinary reading are not errors. Record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self-corrected errors; mark whether recovered, whether an assist was needed and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whether the final artefact remained invalid.</w:t>
      </w:r>
    </w:p>
    <w:p>
      <w:pPr>
        <w:pStyle w:val="BodyText"/>
      </w:pPr>
      <w:r>
        <w:rPr>
          <w:rFonts w:ascii="Calibri" w:hAnsi="Calibri"/>
        </w:rPr>
        <w:t xml:space="preserve">An unrecovered error is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critical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when it causes any required end-state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checkpoint to fail or leaves an incorrect participant/data identity, scoring rule,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stored response value or unusable participant link. Code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Critical = Yes/No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for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every error. A recovered error remains in the error count but is not critical in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the final artefact.</w:t>
      </w:r>
    </w:p>
    <w:bookmarkEnd w:id="35"/>
    <w:bookmarkStart w:id="36" w:name="time"/>
    <w:p>
      <w:pPr>
        <w:pStyle w:val="Heading3"/>
        <w:keepNext/>
        <w:keepLines/>
      </w:pPr>
      <w:r>
        <w:rPr>
          <w:rFonts w:ascii="Calibri" w:hAnsi="Calibri"/>
        </w:rPr>
        <w:t xml:space="preserve">Time</w:t>
      </w:r>
    </w:p>
    <w:p>
      <w:pPr>
        <w:pStyle w:val="FirstParagraph"/>
      </w:pPr>
      <w:r>
        <w:rPr>
          <w:rFonts w:ascii="Calibri" w:hAnsi="Calibri"/>
        </w:rPr>
        <w:t xml:space="preserve">Active task time is elapsed time from the first system action to completion/failure,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minus researcher-owned outages and participant-requested breaks. Do not pause for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reading, search, backtracking or self-correction because these are part of task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performance. Stop at the participant's declaration or 20-minute limit. Post-task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measures, observer synthetic completion, export inspection and checkpoint coding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are outside active task time.</w:t>
      </w:r>
    </w:p>
    <w:bookmarkEnd w:id="36"/>
    <w:bookmarkEnd w:id="37"/>
    <w:bookmarkStart w:id="39" w:name="planted-discrepancy-task"/>
    <w:p>
      <w:pPr>
        <w:pStyle w:val="Heading2"/>
        <w:keepNext/>
        <w:keepLines/>
      </w:pPr>
      <w:r>
        <w:rPr>
          <w:rFonts w:ascii="Calibri" w:hAnsi="Calibri"/>
        </w:rPr>
        <w:t xml:space="preserve">Planted-discrepancy task</w:t>
      </w:r>
    </w:p>
    <w:p>
      <w:pPr>
        <w:pStyle w:val="FirstParagraph"/>
      </w:pPr>
      <w:r>
        <w:rPr>
          <w:rFonts w:ascii="Calibri" w:hAnsi="Calibri"/>
        </w:rPr>
        <w:t xml:space="preserve">After both setup conditions, give the participant a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sealed source sheet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and a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sealed imported definition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that differ in exactly one response label.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Everything else must match. The location, source wording and altered wording are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frozen in the private ethics/preregistration appendix and are not published in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the repository before data collection.</w:t>
      </w:r>
    </w:p>
    <w:p>
      <w:pPr>
        <w:pStyle w:val="BodyText"/>
      </w:pPr>
      <w:r>
        <w:rPr>
          <w:rFonts w:ascii="Calibri" w:hAnsi="Calibri"/>
        </w:rPr>
        <w:t xml:space="preserve">The discrepancy previously described in public repository history must not be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used. A participant could have seen its answer, so it cannot yield interpretable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detection evidence. Before recruitment, the researcher must use a different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single discrepancy, record both file hashes in the private appendix, and give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second coder the sealed answer only after their independent coding is frozen.</w:t>
      </w:r>
    </w:p>
    <w:p>
      <w:pPr>
        <w:pStyle w:val="BodyText"/>
      </w:pPr>
      <w:r>
        <w:rPr>
          <w:rFonts w:ascii="Calibri" w:hAnsi="Calibri"/>
        </w:rPr>
        <w:t xml:space="preserve">Task wording:</w:t>
      </w:r>
    </w:p>
    <w:p>
      <w:pPr>
        <w:pStyle w:val="BlockText"/>
        <w:spacing w:before="80" w:after="160"/>
        <w:ind w:left="432" w:right="216"/>
      </w:pPr>
      <w:r>
        <w:rPr>
          <w:rFonts w:ascii="Calibri" w:hAnsi="Calibri"/>
          <w:i/>
          <w:color w:val="1F4D78"/>
          <w:sz w:val="20"/>
        </w:rPr>
        <w:t xml:space="preserve">Check the imported questions, answer labels, stored values and scoring against</w:t>
      </w:r>
      <w:r>
        <w:rPr>
          <w:rFonts w:ascii="Calibri" w:hAnsi="Calibri"/>
          <w:i/>
          <w:color w:val="1F4D78"/>
          <w:sz w:val="20"/>
        </w:rPr>
        <w:t xml:space="preserve"> </w:t>
      </w:r>
      <w:r>
        <w:rPr>
          <w:rFonts w:ascii="Calibri" w:hAnsi="Calibri"/>
          <w:i/>
          <w:color w:val="1F4D78"/>
          <w:sz w:val="20"/>
        </w:rPr>
        <w:t xml:space="preserve">the source sheet. Do not edit either file. Tell me every difference you would</w:t>
      </w:r>
      <w:r>
        <w:rPr>
          <w:rFonts w:ascii="Calibri" w:hAnsi="Calibri"/>
          <w:i/>
          <w:color w:val="1F4D78"/>
          <w:sz w:val="20"/>
        </w:rPr>
        <w:t xml:space="preserve"> </w:t>
      </w:r>
      <w:r>
        <w:rPr>
          <w:rFonts w:ascii="Calibri" w:hAnsi="Calibri"/>
          <w:i/>
          <w:color w:val="1F4D78"/>
          <w:sz w:val="20"/>
        </w:rPr>
        <w:t xml:space="preserve">resolve before releasing the participant link.</w:t>
      </w:r>
    </w:p>
    <w:p>
      <w:pPr>
        <w:pStyle w:val="FirstParagraph"/>
      </w:pPr>
      <w:r>
        <w:rPr>
          <w:rFonts w:ascii="Calibri" w:hAnsi="Calibri"/>
        </w:rPr>
        <w:t xml:space="preserve">Detection success requires the participant to identify the exact item/response,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both conflicting labels and the need to stop release, before assist or debrief.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False-positive differences are recorded separately. The task ends after detection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or 8 minutes.</w:t>
      </w:r>
    </w:p>
    <w:bookmarkStart w:id="38" w:name="information-sheet-disclosure-and-debrief"/>
    <w:p>
      <w:pPr>
        <w:pStyle w:val="Heading3"/>
        <w:keepNext/>
        <w:keepLines/>
      </w:pPr>
      <w:r>
        <w:rPr>
          <w:rFonts w:ascii="Calibri" w:hAnsi="Calibri"/>
        </w:rPr>
        <w:t xml:space="preserve">Information-sheet disclosure and debrief</w:t>
      </w:r>
    </w:p>
    <w:p>
      <w:pPr>
        <w:pStyle w:val="FirstParagraph"/>
      </w:pPr>
      <w:r>
        <w:rPr>
          <w:rFonts w:ascii="Calibri" w:hAnsi="Calibri"/>
        </w:rPr>
        <w:t xml:space="preserve">Information sheet line:</w:t>
      </w:r>
    </w:p>
    <w:p>
      <w:pPr>
        <w:pStyle w:val="BlockText"/>
        <w:spacing w:before="80" w:after="160"/>
        <w:ind w:left="432" w:right="216"/>
      </w:pPr>
      <w:r>
        <w:rPr>
          <w:rFonts w:ascii="Calibri" w:hAnsi="Calibri"/>
          <w:i/>
          <w:color w:val="1F4D78"/>
          <w:sz w:val="20"/>
        </w:rPr>
        <w:t xml:space="preserve">One task may contain a small intentional difference between two setup materials.</w:t>
      </w:r>
      <w:r>
        <w:rPr>
          <w:rFonts w:ascii="Calibri" w:hAnsi="Calibri"/>
          <w:i/>
          <w:color w:val="1F4D78"/>
          <w:sz w:val="20"/>
        </w:rPr>
        <w:t xml:space="preserve"> </w:t>
      </w:r>
      <w:r>
        <w:rPr>
          <w:rFonts w:ascii="Calibri" w:hAnsi="Calibri"/>
          <w:i/>
          <w:color w:val="1F4D78"/>
          <w:sz w:val="20"/>
        </w:rPr>
        <w:t xml:space="preserve">We do not tell you its location in advance because noticing it is part of the</w:t>
      </w:r>
      <w:r>
        <w:rPr>
          <w:rFonts w:ascii="Calibri" w:hAnsi="Calibri"/>
          <w:i/>
          <w:color w:val="1F4D78"/>
          <w:sz w:val="20"/>
        </w:rPr>
        <w:t xml:space="preserve"> </w:t>
      </w:r>
      <w:r>
        <w:rPr>
          <w:rFonts w:ascii="Calibri" w:hAnsi="Calibri"/>
          <w:i/>
          <w:color w:val="1F4D78"/>
          <w:sz w:val="20"/>
        </w:rPr>
        <w:t xml:space="preserve">task. We will explain it immediately afterwards.</w:t>
      </w:r>
    </w:p>
    <w:p>
      <w:pPr>
        <w:pStyle w:val="FirstParagraph"/>
      </w:pPr>
      <w:r>
        <w:rPr>
          <w:rFonts w:ascii="Calibri" w:hAnsi="Calibri"/>
        </w:rPr>
        <w:t xml:space="preserve">Debrief line:</w:t>
      </w:r>
    </w:p>
    <w:p>
      <w:pPr>
        <w:pStyle w:val="BlockText"/>
        <w:spacing w:before="80" w:after="160"/>
        <w:ind w:left="432" w:right="216"/>
      </w:pPr>
      <w:r>
        <w:rPr>
          <w:rFonts w:ascii="Calibri" w:hAnsi="Calibri"/>
          <w:i/>
          <w:color w:val="1F4D78"/>
          <w:sz w:val="20"/>
        </w:rPr>
        <w:t xml:space="preserve">The difference was intentionally inserted by the research team. The source</w:t>
      </w:r>
      <w:r>
        <w:rPr>
          <w:rFonts w:ascii="Calibri" w:hAnsi="Calibri"/>
          <w:i/>
          <w:color w:val="1F4D78"/>
          <w:sz w:val="20"/>
        </w:rPr>
        <w:t xml:space="preserve"> </w:t>
      </w:r>
      <w:r>
        <w:rPr>
          <w:rFonts w:ascii="Calibri" w:hAnsi="Calibri"/>
          <w:i/>
          <w:color w:val="1F4D78"/>
          <w:sz w:val="20"/>
        </w:rPr>
        <w:t xml:space="preserve">wording was [read the sealed source wording] and the imported file showed [read</w:t>
      </w:r>
      <w:r>
        <w:rPr>
          <w:rFonts w:ascii="Calibri" w:hAnsi="Calibri"/>
          <w:i/>
          <w:color w:val="1F4D78"/>
          <w:sz w:val="20"/>
        </w:rPr>
        <w:t xml:space="preserve"> </w:t>
      </w:r>
      <w:r>
        <w:rPr>
          <w:rFonts w:ascii="Calibri" w:hAnsi="Calibri"/>
          <w:i/>
          <w:color w:val="1F4D78"/>
          <w:sz w:val="20"/>
        </w:rPr>
        <w:t xml:space="preserve">the sealed altered wording]. It was not your mistake. We used it only to test</w:t>
      </w:r>
      <w:r>
        <w:rPr>
          <w:rFonts w:ascii="Calibri" w:hAnsi="Calibri"/>
          <w:i/>
          <w:color w:val="1F4D78"/>
          <w:sz w:val="20"/>
        </w:rPr>
        <w:t xml:space="preserve"> </w:t>
      </w:r>
      <w:r>
        <w:rPr>
          <w:rFonts w:ascii="Calibri" w:hAnsi="Calibri"/>
          <w:i/>
          <w:color w:val="1F4D78"/>
          <w:sz w:val="20"/>
        </w:rPr>
        <w:t xml:space="preserve">whether the difference was detected while you used the review workflow. Your</w:t>
      </w:r>
      <w:r>
        <w:rPr>
          <w:rFonts w:ascii="Calibri" w:hAnsi="Calibri"/>
          <w:i/>
          <w:color w:val="1F4D78"/>
          <w:sz w:val="20"/>
        </w:rPr>
        <w:t xml:space="preserve"> </w:t>
      </w:r>
      <w:r>
        <w:rPr>
          <w:rFonts w:ascii="Calibri" w:hAnsi="Calibri"/>
          <w:i/>
          <w:color w:val="1F4D78"/>
          <w:sz w:val="20"/>
        </w:rPr>
        <w:t xml:space="preserve">right to withdraw is unchanged.</w:t>
      </w:r>
    </w:p>
    <w:p>
      <w:pPr>
        <w:pStyle w:val="FirstParagraph"/>
      </w:pPr>
      <w:r>
        <w:rPr>
          <w:rFonts w:ascii="Calibri" w:hAnsi="Calibri"/>
        </w:rPr>
        <w:t xml:space="preserve">The bracketed wording is filled from the ethics-approved sealed appendix during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the debrief; it is not improvised by the observer.</w:t>
      </w:r>
    </w:p>
    <w:bookmarkEnd w:id="38"/>
    <w:bookmarkEnd w:id="39"/>
    <w:bookmarkStart w:id="40" w:name="measures"/>
    <w:p>
      <w:pPr>
        <w:pStyle w:val="Heading2"/>
        <w:keepNext/>
        <w:keepLines/>
      </w:pPr>
      <w:r>
        <w:rPr>
          <w:rFonts w:ascii="Calibri" w:hAnsi="Calibri"/>
        </w:rPr>
        <w:t xml:space="preserve">Measures</w:t>
      </w:r>
    </w:p>
    <w:p>
      <w:pPr>
        <w:pStyle w:val="FirstParagraph"/>
      </w:pPr>
      <w:r>
        <w:rPr>
          <w:rFonts w:ascii="Calibri" w:hAnsi="Calibri"/>
        </w:rPr>
        <w:t xml:space="preserve">Primary observed measures per setup condition:</w:t>
      </w:r>
    </w:p>
    <w:p>
      <w:pPr>
        <w:numPr>
          <w:ilvl w:val="0"/>
          <w:numId w:val="1008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task success category and each end-state checkpoint;</w:t>
      </w:r>
    </w:p>
    <w:p>
      <w:pPr>
        <w:numPr>
          <w:ilvl w:val="0"/>
          <w:numId w:val="1008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active time in seconds;</w:t>
      </w:r>
    </w:p>
    <w:p>
      <w:pPr>
        <w:numPr>
          <w:ilvl w:val="0"/>
          <w:numId w:val="1008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assist count and assist categories;</w:t>
      </w:r>
    </w:p>
    <w:p>
      <w:pPr>
        <w:numPr>
          <w:ilvl w:val="0"/>
          <w:numId w:val="1008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error count, categories, recovery, critical status and final validity; and</w:t>
      </w:r>
    </w:p>
    <w:p>
      <w:pPr>
        <w:numPr>
          <w:ilvl w:val="0"/>
          <w:numId w:val="1008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the untimed observer-verification checkpoint vector.</w:t>
      </w:r>
    </w:p>
    <w:p>
      <w:pPr>
        <w:pStyle w:val="FirstParagraph"/>
      </w:pPr>
      <w:r>
        <w:rPr>
          <w:rFonts w:ascii="Calibri" w:hAnsi="Calibri"/>
        </w:rPr>
        <w:t xml:space="preserve">The planted-discrepancy outcome is a separate AQP source-review task, not a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per-condition setup measure. Report detection, time, assists and false positives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separately.</w:t>
      </w:r>
    </w:p>
    <w:p>
      <w:pPr>
        <w:pStyle w:val="BodyText"/>
      </w:pPr>
      <w:r>
        <w:rPr>
          <w:rFonts w:ascii="Calibri" w:hAnsi="Calibri"/>
        </w:rPr>
        <w:t xml:space="preserve">Post-condition measures:</w:t>
      </w:r>
    </w:p>
    <w:p>
      <w:pPr>
        <w:numPr>
          <w:ilvl w:val="0"/>
          <w:numId w:val="1009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Single Ease Question (SEQ), administered immediately after each condition as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“Overall, how difficult or easy was this task to complete?”, with numbered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responses 1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Very difficult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to 7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Very easy</w:t>
      </w:r>
      <w:r>
        <w:rPr>
          <w:rFonts w:ascii="Calibri" w:hAnsi="Calibri"/>
        </w:rPr>
        <w:t xml:space="preserve">;</w:t>
      </w:r>
    </w:p>
    <w:p>
      <w:pPr>
        <w:numPr>
          <w:ilvl w:val="0"/>
          <w:numId w:val="1009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the original ten-item System Usability Scale (SUS), administered immediately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after the SEQ for that system and before discussion. Use the original item order,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1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Strongly disagree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to 5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Strongly agree</w:t>
      </w:r>
      <w:r>
        <w:rPr>
          <w:rFonts w:ascii="Calibri" w:hAnsi="Calibri"/>
        </w:rPr>
        <w:t xml:space="preserve">, and the Brooke scoring rule: odd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item contribution = response − 1; even item contribution = 5 − response; sum ×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2.5 for a 0–100 score. If any item is declined/missing, report the SUS score as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missing and do not impute.</w:t>
      </w:r>
    </w:p>
    <w:p>
      <w:pPr>
        <w:pStyle w:val="FirstParagraph"/>
      </w:pPr>
      <w:r>
        <w:rPr>
          <w:rFonts w:ascii="Calibri" w:hAnsi="Calibri"/>
        </w:rPr>
        <w:t xml:space="preserve">Post-session formative prompts, collected only after the planted-discrepancy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debrief:</w:t>
      </w:r>
    </w:p>
    <w:p>
      <w:pPr>
        <w:numPr>
          <w:ilvl w:val="0"/>
          <w:numId w:val="1010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“What caused the most difficulty?”;</w:t>
      </w:r>
    </w:p>
    <w:p>
      <w:pPr>
        <w:numPr>
          <w:ilvl w:val="0"/>
          <w:numId w:val="1010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“What helped most?”; and</w:t>
      </w:r>
    </w:p>
    <w:p>
      <w:pPr>
        <w:numPr>
          <w:ilvl w:val="0"/>
          <w:numId w:val="1010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“What one change would you make?”.</w:t>
      </w:r>
    </w:p>
    <w:p>
      <w:pPr>
        <w:pStyle w:val="FirstParagraph"/>
      </w:pPr>
      <w:r>
        <w:rPr>
          <w:rFonts w:ascii="Calibri" w:hAnsi="Calibri"/>
        </w:rPr>
        <w:t xml:space="preserve">These post-debrief responses may inform future design work. They are not evidence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that the discrepancy was or was not detected.</w:t>
      </w:r>
    </w:p>
    <w:p>
      <w:pPr>
        <w:pStyle w:val="BodyText"/>
      </w:pPr>
      <w:r>
        <w:rPr>
          <w:rFonts w:ascii="Calibri" w:hAnsi="Calibri"/>
        </w:rPr>
        <w:t xml:space="preserve">Use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docs/ethics/AQP-POST-CONDITION-MEASURES-SHEET-v1.0.md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as the exact neutral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administration surface for both systems. The observer displays the same read-only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sheet, names the system, reads wording verbatim if needed and records the numeric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response. Self-report does not replace observed success, time, assists or errors.</w:t>
      </w:r>
    </w:p>
    <w:bookmarkEnd w:id="40"/>
    <w:bookmarkStart w:id="41" w:name="second-coding-and-agreement"/>
    <w:p>
      <w:pPr>
        <w:pStyle w:val="Heading2"/>
        <w:keepNext/>
        <w:keepLines/>
      </w:pPr>
      <w:r>
        <w:rPr>
          <w:rFonts w:ascii="Calibri" w:hAnsi="Calibri"/>
        </w:rPr>
        <w:t xml:space="preserve">Second coding and agreement</w:t>
      </w:r>
    </w:p>
    <w:p>
      <w:pPr>
        <w:pStyle w:val="FirstParagraph"/>
      </w:pPr>
      <w:r>
        <w:rPr>
          <w:rFonts w:ascii="Calibri" w:hAnsi="Calibri"/>
        </w:rPr>
        <w:t xml:space="preserve">The primary observer codes all sessions from the fixed event sheet. A second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person, blind to the primary codes, independently codes at least two complete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recordings selected before outcome review (one AQ and one QA when available).</w:t>
      </w:r>
    </w:p>
    <w:p>
      <w:pPr>
        <w:pStyle w:val="BodyText"/>
      </w:pPr>
      <w:r>
        <w:rPr>
          <w:rFonts w:ascii="Calibri" w:hAnsi="Calibri"/>
        </w:rPr>
        <w:t xml:space="preserve">For each double-coded session report:</w:t>
      </w:r>
    </w:p>
    <w:p>
      <w:pPr>
        <w:numPr>
          <w:ilvl w:val="0"/>
          <w:numId w:val="101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exact agreement on condition-level task-success category and every end-state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checkpoint;</w:t>
      </w:r>
    </w:p>
    <w:p>
      <w:pPr>
        <w:numPr>
          <w:ilvl w:val="0"/>
          <w:numId w:val="101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each coder's raw assist and error totals;</w:t>
      </w:r>
    </w:p>
    <w:p>
      <w:pPr>
        <w:numPr>
          <w:ilvl w:val="0"/>
          <w:numId w:val="101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one-to-one event agreement within the same condition, event type and predefined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category where timestamps differ by no more than 10 seconds. Each event may be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matched once. Choose the maximum-cardinality set; break ties by the smallest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absolute time difference and then the earlier timestamp; and</w:t>
      </w:r>
    </w:p>
    <w:p>
      <w:pPr>
        <w:numPr>
          <w:ilvl w:val="0"/>
          <w:numId w:val="101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matched events divided by the union of both coders' events (</w:t>
      </w:r>
      <w:r>
        <w:rPr>
          <w:rStyle w:val="VerbatimChar"/>
          <w:rFonts w:ascii="Calibri" w:hAnsi="Calibri"/>
        </w:rPr>
        <w:t xml:space="preserve">P + S − matched</w:t>
      </w:r>
      <w:r>
        <w:rPr>
          <w:rFonts w:ascii="Calibri" w:hAnsi="Calibri"/>
        </w:rPr>
        <w:t xml:space="preserve">),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with disagreements listed and resolved only after the independent result is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frozen.</w:t>
      </w:r>
    </w:p>
    <w:p>
      <w:pPr>
        <w:pStyle w:val="FirstParagraph"/>
      </w:pPr>
      <w:r>
        <w:rPr>
          <w:rFonts w:ascii="Calibri" w:hAnsi="Calibri"/>
        </w:rPr>
        <w:t xml:space="preserve">Do not report agreement only after consensus. Preserve the pre-consensus numbers.</w:t>
      </w:r>
    </w:p>
    <w:bookmarkEnd w:id="41"/>
    <w:bookmarkStart w:id="42" w:name="analysis-plan"/>
    <w:p>
      <w:pPr>
        <w:pStyle w:val="Heading2"/>
        <w:keepNext/>
        <w:keepLines/>
      </w:pPr>
      <w:r>
        <w:rPr>
          <w:rFonts w:ascii="Calibri" w:hAnsi="Calibri"/>
        </w:rPr>
        <w:t xml:space="preserve">Analysis plan</w:t>
      </w:r>
    </w:p>
    <w:p>
      <w:pPr>
        <w:pStyle w:val="FirstParagraph"/>
      </w:pPr>
      <w:r>
        <w:rPr>
          <w:rFonts w:ascii="Calibri" w:hAnsi="Calibri"/>
        </w:rPr>
        <w:t xml:space="preserve">For each participant and condition report success, time, assists, errors, SEQ, SUS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and critical incidents. Summarise numeric measures with n, median, minimum and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maximum. Report counts and denominators for success and discrepancy detection.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Show AQ and QA order groups separately before any overall summary.</w:t>
      </w:r>
    </w:p>
    <w:p>
      <w:pPr>
        <w:pStyle w:val="BodyText"/>
      </w:pPr>
      <w:r>
        <w:rPr>
          <w:rFonts w:ascii="Calibri" w:hAnsi="Calibri"/>
        </w:rPr>
        <w:t xml:space="preserve">Do not run null-hypothesis significance tests, fit a model or claim population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effects at n=6–8. Do not average away critical errors. Analyse the post-debrief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open responses with a small deductive incident table linked to the observed task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state and severity; treat them as formative feedback, not discrepancy evidence,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and do not claim thematic saturation.</w:t>
      </w:r>
    </w:p>
    <w:bookmarkEnd w:id="42"/>
    <w:bookmarkStart w:id="43" w:name="preregistration-and-deviations"/>
    <w:p>
      <w:pPr>
        <w:pStyle w:val="Heading2"/>
        <w:keepNext/>
        <w:keepLines/>
      </w:pPr>
      <w:r>
        <w:rPr>
          <w:rFonts w:ascii="Calibri" w:hAnsi="Calibri"/>
        </w:rPr>
        <w:t xml:space="preserve">Preregistration and deviations</w:t>
      </w:r>
    </w:p>
    <w:p>
      <w:pPr>
        <w:pStyle w:val="FirstParagraph"/>
      </w:pPr>
      <w:r>
        <w:rPr>
          <w:rFonts w:ascii="Calibri" w:hAnsi="Calibri"/>
        </w:rPr>
        <w:t xml:space="preserve">Before the first session, register on OSF or the approved repository:</w:t>
      </w:r>
    </w:p>
    <w:p>
      <w:pPr>
        <w:numPr>
          <w:ilvl w:val="0"/>
          <w:numId w:val="1012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this protocol version and claim boundary;</w:t>
      </w:r>
    </w:p>
    <w:p>
      <w:pPr>
        <w:numPr>
          <w:ilvl w:val="0"/>
          <w:numId w:val="1012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frozen systems, templates, source sheet and end-state checklist;</w:t>
      </w:r>
    </w:p>
    <w:p>
      <w:pPr>
        <w:numPr>
          <w:ilvl w:val="0"/>
          <w:numId w:val="1012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participant criteria and target n;</w:t>
      </w:r>
    </w:p>
    <w:p>
      <w:pPr>
        <w:numPr>
          <w:ilvl w:val="0"/>
          <w:numId w:val="1012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random seed and AQ/QA schedule;</w:t>
      </w:r>
    </w:p>
    <w:p>
      <w:pPr>
        <w:numPr>
          <w:ilvl w:val="0"/>
          <w:numId w:val="1012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allocation generation/slot-reuse rule;</w:t>
      </w:r>
    </w:p>
    <w:p>
      <w:pPr>
        <w:numPr>
          <w:ilvl w:val="0"/>
          <w:numId w:val="1012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frozen condition-to-checkpoint map, synthetic vector and expected score;</w:t>
      </w:r>
    </w:p>
    <w:p>
      <w:pPr>
        <w:numPr>
          <w:ilvl w:val="0"/>
          <w:numId w:val="1012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task-success, assist and error definitions;</w:t>
      </w:r>
    </w:p>
    <w:p>
      <w:pPr>
        <w:numPr>
          <w:ilvl w:val="0"/>
          <w:numId w:val="1012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exact post-condition measures sheet, administration order and analysis plan;</w:t>
      </w:r>
    </w:p>
    <w:p>
      <w:pPr>
        <w:numPr>
          <w:ilvl w:val="0"/>
          <w:numId w:val="1012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exclusion/withdrawal rules; and</w:t>
      </w:r>
    </w:p>
    <w:p>
      <w:pPr>
        <w:numPr>
          <w:ilvl w:val="0"/>
          <w:numId w:val="1012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second-coder selection rule.</w:t>
      </w:r>
    </w:p>
    <w:p>
      <w:pPr>
        <w:pStyle w:val="FirstParagraph"/>
      </w:pPr>
      <w:r>
        <w:rPr>
          <w:rFonts w:ascii="Calibri" w:hAnsi="Calibri"/>
        </w:rPr>
        <w:t xml:space="preserve">Report every change after registration with date, reason, affected cases and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whether it was made before or after seeing outcomes.</w:t>
      </w:r>
    </w:p>
    <w:bookmarkEnd w:id="43"/>
    <w:bookmarkStart w:id="44" w:name="Xdf8fec300e3134552479035e10521790a1d41c2"/>
    <w:p>
      <w:pPr>
        <w:pStyle w:val="Heading2"/>
        <w:keepNext/>
        <w:keepLines/>
      </w:pPr>
      <w:r>
        <w:rPr>
          <w:rFonts w:ascii="Calibri" w:hAnsi="Calibri"/>
        </w:rPr>
        <w:t xml:space="preserve">Recording, privacy and retention amendment text</w:t>
      </w:r>
    </w:p>
    <w:p>
      <w:pPr>
        <w:pStyle w:val="FirstParagraph"/>
      </w:pPr>
      <w:r>
        <w:rPr>
          <w:rFonts w:ascii="Calibri" w:hAnsi="Calibri"/>
        </w:rPr>
        <w:t xml:space="preserve">Active consent to study-window and session-audio recording is required to take part,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because the recording is needed to code task time, assists and errors and to permit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the independent coding check. A person may decline without penalty; they will not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then take part in this recorded study. A recording on a researcher's own computer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may incidentally capture identifying material such as account name, browser tabs,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notifications, file paths or voices. Participants will be asked to close unrelated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windows and mute notifications, but this risk cannot be eliminated.</w:t>
      </w:r>
    </w:p>
    <w:p>
      <w:pPr>
        <w:pStyle w:val="BodyText"/>
      </w:pPr>
      <w:r>
        <w:rPr>
          <w:rFonts w:ascii="Calibri" w:hAnsi="Calibri"/>
        </w:rPr>
        <w:t xml:space="preserve">Recordings will be transferred immediately to an access-controlled UCL Research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Data Storage Service (RDSS) project folder registered by the supervisor,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accessible only to Yurui Wang, Dr Mark Colley and the named UCL second coder in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the approved amendment. They will not be uploaded to GitHub, personal cloud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storage or email. After the transfer is verified, securely remove the temporary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local copy. Securely delete the raw recordings no later than 30 November 2026,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after coding and the agreement check, and record the deletion date. Keep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consent/contact data separately from coded task data. The participant may pause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recording or request removal of identifiable and coded data until seven calendar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days after their session.</w:t>
      </w:r>
    </w:p>
    <w:p>
      <w:pPr>
        <w:pStyle w:val="BodyText"/>
      </w:pPr>
      <w:r>
        <w:rPr>
          <w:rFonts w:ascii="Calibri" w:hAnsi="Calibri"/>
        </w:rPr>
        <w:t xml:space="preserve">No payment is planned under protocol version 1.2. Any change to payment,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recording, storage, participant group or task requires prior ethics confirmation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and updated participant materials.</w:t>
      </w:r>
    </w:p>
    <w:bookmarkEnd w:id="44"/>
    <w:bookmarkEnd w:id="45"/>
    <w:sectPr>
      <w:headerReference w:type="default" r:id="rId9"/>
      <w:footerReference w:type="default" r:id="rId10"/>
      <w:pgSz w:w="12240" w:h="15840"/>
      <w:pgMar w:top="1440" w:bottom="1440" w:left="1440" w:righ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9636E"/>
        <w:sz w:val="17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color w:val="59636E"/>
        <w:sz w:val="17"/>
      </w:rPr>
      <w:t>AQP observed researcher study  |  Protocol v1.2 | ethics amendment required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64" w:lineRule="auto"/>
    </w:pPr>
    <w:rPr>
      <w:rFonts w:ascii="Calibri" w:hAnsi="Calibri"/>
      <w:b w:val="0"/>
      <w:color w:val="00000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20" w:line="240" w:lineRule="auto"/>
      <w:outlineLvl w:val="0"/>
    </w:pPr>
    <w:rPr>
      <w:rFonts w:asciiTheme="majorHAnsi" w:cstheme="majorBidi" w:eastAsiaTheme="majorEastAsia" w:hAnsiTheme="majorHAnsi" w:ascii="Calibri" w:hAnsi="Calibri"/>
      <w:b/>
      <w:bCs/>
      <w:color w:val="2E74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240" w:lineRule="auto"/>
      <w:outlineLvl w:val="1"/>
    </w:pPr>
    <w:rPr>
      <w:rFonts w:asciiTheme="majorHAnsi" w:cstheme="majorBidi" w:eastAsiaTheme="majorEastAsia" w:hAnsiTheme="majorHAnsi" w:ascii="Calibri" w:hAnsi="Calibri"/>
      <w:b/>
      <w:bCs/>
      <w:color w:val="2E74B5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 w:line="240" w:lineRule="auto"/>
      <w:outlineLvl w:val="2"/>
    </w:pPr>
    <w:rPr>
      <w:rFonts w:asciiTheme="majorHAnsi" w:cstheme="majorBidi" w:eastAsiaTheme="majorEastAsia" w:hAnsiTheme="majorHAnsi" w:ascii="Calibri" w:hAnsi="Calibri"/>
      <w:b/>
      <w:bCs/>
      <w:color w:val="1F4D78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Observed researcher study protocol v1.2</dc:title>
  <dc:creator>Yurui Wang</dc:creator>
  <cp:keywords>AQP, evaluation, accessibility, questionnaire</cp:keywords>
  <dcterms:created xsi:type="dcterms:W3CDTF">2026-08-10T16:06:52Z</dcterms:created>
  <dcterms:modified xsi:type="dcterms:W3CDTF">2026-08-10T16:06:52Z</dcterms:modified>
  <dc:subject>Protocol v1.2 | ethics amendment required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