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4cc02727c7c90d32ee6ba50a9c6976a9d968c8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AQP quantified technical evaluation protocol v1.0</w:t>
      </w:r>
    </w:p>
    <w:p>
      <w:pPr>
        <w:pStyle w:val="FirstParagraph"/>
      </w:pPr>
      <w:r>
        <w:rPr>
          <w:rFonts w:ascii="Calibri" w:hAnsi="Calibri"/>
        </w:rPr>
        <w:t xml:space="preserve">Protocol frozen: 2026-08-09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Evaluation type: technical fidelity, refusal safety, provenance and rendered-browser regression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Release rule: report only results tied to an immutable commit SHA and passing CI run</w:t>
      </w:r>
    </w:p>
    <w:bookmarkStart w:id="20" w:name="evaluation-question-and-boundary"/>
    <w:p>
      <w:pPr>
        <w:pStyle w:val="Heading2"/>
        <w:keepNext/>
        <w:keepLines/>
      </w:pPr>
      <w:r>
        <w:rPr>
          <w:rFonts w:ascii="Calibri" w:hAnsi="Calibri"/>
        </w:rPr>
        <w:t xml:space="preserve">Evaluation question and boundary</w:t>
      </w:r>
    </w:p>
    <w:p>
      <w:pPr>
        <w:pStyle w:val="FirstParagraph"/>
      </w:pPr>
      <w:r>
        <w:rPr>
          <w:rFonts w:ascii="Calibri" w:hAnsi="Calibri"/>
        </w:rPr>
        <w:t xml:space="preserve">The evaluation asks whether the implemented AQP release preserves the declared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questionnaire and response record within its documented support boundary, rejects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unsupported behaviour without silent alteration, supports reconstruction from its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own export, and passes pre-specified automated checks in named rendered states.</w:t>
      </w:r>
    </w:p>
    <w:p>
      <w:pPr>
        <w:pStyle w:val="BodyText"/>
      </w:pPr>
      <w:r>
        <w:rPr>
          <w:rFonts w:ascii="Calibri" w:hAnsi="Calibri"/>
        </w:rPr>
        <w:t xml:space="preserve">It does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test psychometric equivalence between sequential and standard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administration, benefit for disabled users, general usability, universal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questionnaire independence or complete WCAG conformance. Those claims require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different evidence.</w:t>
      </w:r>
    </w:p>
    <w:bookmarkEnd w:id="20"/>
    <w:bookmarkStart w:id="21" w:name="e0-bounded-reuse-and-allowlist-gates"/>
    <w:p>
      <w:pPr>
        <w:pStyle w:val="Heading2"/>
        <w:keepNext/>
        <w:keepLines/>
      </w:pPr>
      <w:r>
        <w:rPr>
          <w:rFonts w:ascii="Calibri" w:hAnsi="Calibri"/>
        </w:rPr>
        <w:t xml:space="preserve">E0. Bounded reuse and allowlist gates</w:t>
      </w:r>
    </w:p>
    <w:p>
      <w:pPr>
        <w:pStyle w:val="FirstParagraph"/>
      </w:pPr>
      <w:r>
        <w:rPr>
          <w:rFonts w:ascii="Calibri" w:hAnsi="Calibri"/>
        </w:rPr>
        <w:t xml:space="preserve">The platform claim is made falsifiable before fidelity is interpreted. The same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12 contract identifiers (item ID, name, text, stored values, response labels,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required status, order, review text, scoring rule, score name, visible score name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fixed-vector score) are executed by one unchanged function for every case.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report counts completed case × contract executions and instrument-specific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copies. It also loads every compatible native import as data and records how many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instrument-specific production files were required.</w:t>
      </w:r>
    </w:p>
    <w:p>
      <w:pPr>
        <w:pStyle w:val="BodyText"/>
      </w:pPr>
      <w:r>
        <w:rPr>
          <w:rFonts w:ascii="Calibri" w:hAnsi="Calibri"/>
        </w:rPr>
        <w:t xml:space="preserve">For each fidelity case and each declared support (</w:t>
      </w:r>
      <w:r>
        <w:rPr>
          <w:rStyle w:val="VerbatimChar"/>
          <w:rFonts w:ascii="Calibri" w:hAnsi="Calibri"/>
        </w:rPr>
        <w:t xml:space="preserve">simplerExplanations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smileyLandmarks</w:t>
      </w:r>
      <w:r>
        <w:rPr>
          <w:rFonts w:ascii="Calibri" w:hAnsi="Calibri"/>
        </w:rPr>
        <w:t xml:space="preserve">), the evaluation compares three facts: the definition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declaration, whether the participant control is rendered, and whether a study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configuration requesting the support is accepted. Any disagreement fails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gate. This tests the measurement-protection boundary rather than assuming that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feature flag works.</w:t>
      </w:r>
    </w:p>
    <w:p>
      <w:pPr>
        <w:pStyle w:val="BodyText"/>
      </w:pPr>
      <w:r>
        <w:rPr>
          <w:rFonts w:ascii="Calibri" w:hAnsi="Calibri"/>
        </w:rPr>
        <w:t xml:space="preserve">Current local result: 5 compatible imported definitions admitted through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shared data path with 0 instrument-specific production files; 96/96 common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case-contract executions with 0 instrument-specific copies; and 16/16 allowlist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combinations matching. These are bounded reuse results, not evidence that a new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scorer or mixed response structure can be added as data.</w:t>
      </w:r>
    </w:p>
    <w:bookmarkEnd w:id="21"/>
    <w:bookmarkStart w:id="25" w:name="e1-fidelity-round-trip"/>
    <w:p>
      <w:pPr>
        <w:pStyle w:val="Heading2"/>
        <w:keepNext/>
        <w:keepLines/>
      </w:pPr>
      <w:r>
        <w:rPr>
          <w:rFonts w:ascii="Calibri" w:hAnsi="Calibri"/>
        </w:rPr>
        <w:t xml:space="preserve">E1. Fidelity round trip</w:t>
      </w:r>
    </w:p>
    <w:bookmarkStart w:id="22" w:name="independent-oracle"/>
    <w:p>
      <w:pPr>
        <w:pStyle w:val="Heading3"/>
        <w:keepNext/>
        <w:keepLines/>
      </w:pPr>
      <w:r>
        <w:rPr>
          <w:rFonts w:ascii="Calibri" w:hAnsi="Calibri"/>
        </w:rPr>
        <w:t xml:space="preserve">Independent oracle</w:t>
      </w:r>
    </w:p>
    <w:p>
      <w:pPr>
        <w:pStyle w:val="FirstParagraph"/>
      </w:pPr>
      <w:r>
        <w:rPr>
          <w:rStyle w:val="VerbatimChar"/>
          <w:rFonts w:ascii="Calibri" w:hAnsi="Calibri"/>
        </w:rPr>
        <w:t xml:space="preserve">docs/evidence/fidelity-source-of-truth.json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a hand-maintained test oracle. It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not generated from AQP production definitions or renderer output. Built-in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content was transcribed against the named instrument sources; native import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expectations were transcribed from the committed QSF/LSS/LSG/LSQ source fixtures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before running the import and rendering pipeline.</w:t>
      </w:r>
    </w:p>
    <w:p>
      <w:pPr>
        <w:pStyle w:val="BodyText"/>
      </w:pPr>
      <w:r>
        <w:rPr>
          <w:rFonts w:ascii="Calibri" w:hAnsi="Calibri"/>
        </w:rPr>
        <w:t xml:space="preserve">The revised inventory contains all three distributable built-in instruments and every supported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native import fixture in the repository: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3168"/>
        <w:gridCol w:w="3312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Case class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Cases</w:t>
            </w:r>
          </w:p>
        </w:tc>
        <w:tc>
          <w:tcPr>
            <w:vAlign w:val="top"/>
            <w:tcW w:type="dxa" w:w="331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Items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NASA-TLX weighted and raw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SUS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QSF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LSS (legacy and current)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LSG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LSQ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bCs/>
                <w:rFonts w:ascii="Calibri" w:hAnsi="Calibri"/>
                <w:b/>
                <w:sz w:val="18"/>
              </w:rPr>
              <w:t xml:space="preserve">8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bCs/>
                <w:rFonts w:ascii="Calibri" w:hAnsi="Calibri"/>
                <w:b/>
                <w:sz w:val="18"/>
              </w:rPr>
              <w:t xml:space="preserve">31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UEQ-S is not part of this release inventory because no explicit permission covering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public source redistribution and deployment was established. Its item text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built-in catalogue entry were removed. Generic semantic-differential rendering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tested separately with original synthetic wording and is not counted as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instrument-fidelity case.</w:t>
      </w:r>
    </w:p>
    <w:bookmarkEnd w:id="22"/>
    <w:bookmarkStart w:id="23" w:name="procedure"/>
    <w:p>
      <w:pPr>
        <w:pStyle w:val="Heading3"/>
        <w:keepNext/>
        <w:keepLines/>
      </w:pPr>
      <w:r>
        <w:rPr>
          <w:rFonts w:ascii="Calibri" w:hAnsi="Calibri"/>
        </w:rPr>
        <w:t xml:space="preserve">Procedure</w:t>
      </w:r>
    </w:p>
    <w:p>
      <w:pPr>
        <w:pStyle w:val="FirstParagraph"/>
      </w:pPr>
      <w:r>
        <w:rPr>
          <w:rFonts w:ascii="Calibri" w:hAnsi="Calibri"/>
        </w:rPr>
        <w:t xml:space="preserve">For each case, the automated evaluation loads or imports the source through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production path, renders the participant interface, completes the fixed response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set, reaches review and creates a result record. It compares independently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expected and observed values for: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item count and order;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item identifiers, visible names and complete item text;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response labels and stored values;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required status;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scoring-rule identifier;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reported score name; and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score under the fixed response set.</w:t>
      </w:r>
    </w:p>
    <w:p>
      <w:pPr>
        <w:pStyle w:val="FirstParagraph"/>
      </w:pPr>
      <w:r>
        <w:rPr>
          <w:rFonts w:ascii="Calibri" w:hAnsi="Calibri"/>
        </w:rPr>
        <w:t xml:space="preserve">Each unequal field is retained as a mismatch with case, item and expected/actual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values. The primary result is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mismatches / field comparisons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the release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gate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0 mismatches in every case</w:t>
      </w:r>
      <w:r>
        <w:rPr>
          <w:rFonts w:ascii="Calibri" w:hAnsi="Calibri"/>
        </w:rPr>
        <w:t xml:space="preserve">. One silent mismatch fails the release.</w:t>
      </w:r>
    </w:p>
    <w:bookmarkEnd w:id="23"/>
    <w:bookmarkStart w:id="24" w:name="current-local-result"/>
    <w:p>
      <w:pPr>
        <w:pStyle w:val="Heading3"/>
        <w:keepNext/>
        <w:keepLines/>
      </w:pPr>
      <w:r>
        <w:rPr>
          <w:rFonts w:ascii="Calibri" w:hAnsi="Calibri"/>
        </w:rPr>
        <w:t xml:space="preserve">Current local result</w:t>
      </w:r>
    </w:p>
    <w:p>
      <w:pPr>
        <w:pStyle w:val="FirstParagraph"/>
      </w:pPr>
      <w:r>
        <w:rPr>
          <w:rFonts w:ascii="Calibri" w:hAnsi="Calibri"/>
        </w:rPr>
        <w:t xml:space="preserve">The correction-candidate local build produced 8 cases, 31 items, 234 field comparisons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 mismatches. These numbers become citable only when reproduced by CI and tied to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deployed commit.</w:t>
      </w:r>
    </w:p>
    <w:bookmarkEnd w:id="24"/>
    <w:bookmarkEnd w:id="25"/>
    <w:bookmarkStart w:id="27" w:name="e2-negative-import-battery"/>
    <w:p>
      <w:pPr>
        <w:pStyle w:val="Heading2"/>
        <w:keepNext/>
        <w:keepLines/>
      </w:pPr>
      <w:r>
        <w:rPr>
          <w:rFonts w:ascii="Calibri" w:hAnsi="Calibri"/>
        </w:rPr>
        <w:t xml:space="preserve">E2. Negative import battery</w:t>
      </w:r>
    </w:p>
    <w:p>
      <w:pPr>
        <w:pStyle w:val="FirstParagraph"/>
      </w:pPr>
      <w:r>
        <w:rPr>
          <w:rFonts w:ascii="Calibri" w:hAnsi="Calibri"/>
        </w:rPr>
        <w:t xml:space="preserve">The battery contains one pre-specified row for each adversarial input requested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evaluation design. Outcomes use exactly four mutually exclusive categories: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refused-specific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no definition/link is produced and the message names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offending field or unsupported behaviour;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refused-generic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no definition/link is produced, but the message identifies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only the file/parse class;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accepted-documented-loss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conversion proceeds only when the loss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explicitly represented to the researcher and acknowledged; or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silently-altered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a participant-ready definition is produced after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behaviour or measurement field is dropped or changed without an explicit gate.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6480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Adversarial input</w:t>
            </w:r>
          </w:p>
        </w:tc>
        <w:tc>
          <w:tcPr>
            <w:vAlign w:val="top"/>
            <w:tcW w:type="dxa" w:w="64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Required safe outcome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Executable field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the executable field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Incompatible scoring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the scoring incompatibility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Mixed scales in one instrument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the mixed-scale boundary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Display logic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unsupported behaviour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Skip logic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unsupported behaviour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Randomisation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unsupported behaviour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Carry forward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unsupported behaviour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Non-forced response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optional-response boundary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Unsupported question type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question/type boundary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Oversized definition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name size/count boundary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Malformed XML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XML/file parse message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Truncated file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Refuse; XML/file parse message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The primary finding is the count in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silently-altered</w:t>
      </w:r>
      <w:r>
        <w:rPr>
          <w:rFonts w:ascii="Calibri" w:hAnsi="Calibri"/>
        </w:rPr>
        <w:t xml:space="preserve">; the release gate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0/12</w:t>
      </w:r>
      <w:r>
        <w:rPr>
          <w:rFonts w:ascii="Calibri" w:hAnsi="Calibri"/>
        </w:rPr>
        <w:t xml:space="preserve">. Specific and generic refusals are reported separately rather than merged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into a green total.</w:t>
      </w:r>
    </w:p>
    <w:bookmarkStart w:id="26" w:name="current-local-result-1"/>
    <w:p>
      <w:pPr>
        <w:pStyle w:val="Heading3"/>
        <w:keepNext/>
        <w:keepLines/>
      </w:pPr>
      <w:r>
        <w:rPr>
          <w:rFonts w:ascii="Calibri" w:hAnsi="Calibri"/>
        </w:rPr>
        <w:t xml:space="preserve">Current local result</w:t>
      </w:r>
    </w:p>
    <w:p>
      <w:pPr>
        <w:pStyle w:val="FirstParagraph"/>
      </w:pPr>
      <w:r>
        <w:rPr>
          <w:rFonts w:ascii="Calibri" w:hAnsi="Calibri"/>
        </w:rPr>
        <w:t xml:space="preserve">The local run recorded 10 specific refusals, 2 generic parse refusals,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 accepted-with-documented-loss cases and 0 silently altered cases. CI must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reproduce the result for the release commit.</w:t>
      </w:r>
    </w:p>
    <w:bookmarkEnd w:id="26"/>
    <w:bookmarkEnd w:id="27"/>
    <w:bookmarkStart w:id="31" w:name="Xed5126deceffe2118026ef51644d2b102322235"/>
    <w:p>
      <w:pPr>
        <w:pStyle w:val="Heading2"/>
        <w:keepNext/>
        <w:keepLines/>
      </w:pPr>
      <w:r>
        <w:rPr>
          <w:rFonts w:ascii="Calibri" w:hAnsi="Calibri"/>
        </w:rPr>
        <w:t xml:space="preserve">E3. Definition identity and export reconstruction</w:t>
      </w:r>
    </w:p>
    <w:bookmarkStart w:id="28" w:name="definition-identity"/>
    <w:p>
      <w:pPr>
        <w:pStyle w:val="Heading3"/>
        <w:keepNext/>
        <w:keepLines/>
      </w:pPr>
      <w:r>
        <w:rPr>
          <w:rFonts w:ascii="Calibri" w:hAnsi="Calibri"/>
        </w:rPr>
        <w:t xml:space="preserve">Definition identity</w:t>
      </w:r>
    </w:p>
    <w:p>
      <w:pPr>
        <w:pStyle w:val="FirstParagraph"/>
      </w:pPr>
      <w:r>
        <w:rPr>
          <w:rFonts w:ascii="Calibri" w:hAnsi="Calibri"/>
        </w:rPr>
        <w:t xml:space="preserve">The questionnaire definition is canonicalised by recursively sorting object keys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while preserving array order, then hashed with SHA-256. The same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sha256: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value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stored in the study configuration and result record. The participant runner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recomputes the hash when loading the configuration and again before submission.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 missing or mismatched Version 4 fingerprint blocks configuration loading,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submission and completed-result restoration and must not create or restore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success record. Legacy Version 3 migration remains explicit and instrument-bounded;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there is no hashless Version 4 migration.</w:t>
      </w:r>
    </w:p>
    <w:p>
      <w:pPr>
        <w:pStyle w:val="BodyText"/>
      </w:pPr>
      <w:r>
        <w:rPr>
          <w:rFonts w:ascii="Calibri" w:hAnsi="Calibri"/>
        </w:rPr>
        <w:t xml:space="preserve">The hash is an internal-consistency fingerprint, not a digital signature.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configuration fragment is unsigned, so this test detects a stale or altered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 only when the declared fingerprint is not replaced with it. It does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authenticate researcher origin or prevent a person from replacing both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 and a recomputed fingerprint. That residual boundary is reported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explicitly and is not counted as cryptographic authenticity.</w:t>
      </w:r>
    </w:p>
    <w:bookmarkEnd w:id="28"/>
    <w:bookmarkStart w:id="29" w:name="reconstruction-procedure"/>
    <w:p>
      <w:pPr>
        <w:pStyle w:val="Heading3"/>
        <w:keepNext/>
        <w:keepLines/>
      </w:pPr>
      <w:r>
        <w:rPr>
          <w:rFonts w:ascii="Calibri" w:hAnsi="Calibri"/>
        </w:rPr>
        <w:t xml:space="preserve">Reconstruction procedure</w:t>
      </w:r>
    </w:p>
    <w:p>
      <w:pPr>
        <w:pStyle w:val="FirstParagraph"/>
      </w:pPr>
      <w:r>
        <w:rPr>
          <w:rFonts w:ascii="Calibri" w:hAnsi="Calibri"/>
        </w:rPr>
        <w:t xml:space="preserve">For each of the eight fidelity cases, discard the original study configuration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source fixture after creating the export. From the result export alone: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validate the result schema;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validate the embedded questionnaire definition;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recompute and compare the definition hash;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recover item sequence, content, scale and scorer;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recover final ratings and pair choices;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recompute the score; and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diff reconstructed definition and responses against the oracle.</w:t>
      </w:r>
    </w:p>
    <w:p>
      <w:pPr>
        <w:pStyle w:val="FirstParagraph"/>
      </w:pPr>
      <w:r>
        <w:rPr>
          <w:rFonts w:ascii="Calibri" w:hAnsi="Calibri"/>
        </w:rPr>
        <w:t xml:space="preserve">The release gate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100% reconstructable exports and 0 reconstruction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mismatches</w:t>
      </w:r>
      <w:r>
        <w:rPr>
          <w:rFonts w:ascii="Calibri" w:hAnsi="Calibri"/>
        </w:rPr>
        <w:t xml:space="preserve">. A built-in definition snapshot is required in the export; depending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 a later repository lookup is not reconstruction from the export alone.</w:t>
      </w:r>
    </w:p>
    <w:bookmarkEnd w:id="29"/>
    <w:bookmarkStart w:id="30" w:name="current-local-result-2"/>
    <w:p>
      <w:pPr>
        <w:pStyle w:val="Heading3"/>
        <w:keepNext/>
        <w:keepLines/>
      </w:pPr>
      <w:r>
        <w:rPr>
          <w:rFonts w:ascii="Calibri" w:hAnsi="Calibri"/>
        </w:rPr>
        <w:t xml:space="preserve">Current local result</w:t>
      </w:r>
    </w:p>
    <w:p>
      <w:pPr>
        <w:pStyle w:val="FirstParagraph"/>
      </w:pPr>
      <w:r>
        <w:rPr>
          <w:rFonts w:ascii="Calibri" w:hAnsi="Calibri"/>
        </w:rPr>
        <w:t xml:space="preserve">The local run reconstructed 8/8 exports and 31/31 item responses with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 mismatches. CI must reproduce the result for the release commit.</w:t>
      </w:r>
    </w:p>
    <w:bookmarkEnd w:id="30"/>
    <w:bookmarkEnd w:id="31"/>
    <w:bookmarkStart w:id="32" w:name="Xf2ac64bc34fd13b9b39913db309bc150236a4f0"/>
    <w:p>
      <w:pPr>
        <w:pStyle w:val="Heading2"/>
        <w:keepNext/>
        <w:keepLines/>
      </w:pPr>
      <w:r>
        <w:rPr>
          <w:rFonts w:ascii="Calibri" w:hAnsi="Calibri"/>
        </w:rPr>
        <w:t xml:space="preserve">E4. Rendered-browser WCAG regression in CI</w:t>
      </w:r>
    </w:p>
    <w:p>
      <w:pPr>
        <w:pStyle w:val="FirstParagraph"/>
      </w:pPr>
      <w:r>
        <w:rPr>
          <w:rFonts w:ascii="Calibri" w:hAnsi="Calibri"/>
        </w:rPr>
        <w:t xml:space="preserve">The production build is served to Playwright Chromium. For every pre-specified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 state, the suite runs axe with WCAG 2.0, 2.1 and 2.2 A/AA tags, checks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horizontal overflow and measures critical interactive targets. It also uses real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Tab navigation and computed styles for representative focus checks.</w:t>
      </w:r>
    </w:p>
    <w:p>
      <w:pPr>
        <w:pStyle w:val="BodyText"/>
      </w:pPr>
      <w:r>
        <w:rPr>
          <w:rFonts w:ascii="Calibri" w:hAnsi="Calibri"/>
        </w:rPr>
        <w:t xml:space="preserve">The frozen inventory is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docs/PARTICIPANT-RUNNER-STATE-INVENTORY-v1.md</w:t>
      </w:r>
      <w:r>
        <w:rPr>
          <w:rFonts w:ascii="Calibri" w:hAnsi="Calibri"/>
        </w:rPr>
        <w:t xml:space="preserve">. Its 27 structurally distinct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states cover invalid link, introduction and expanded options; standard item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validation error; voice unavailable, listening, proposal and error; saved offer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resumed summary; review, local failure/retry, local completion and recovered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completion; Qualtrics connecting, bridge failure, submission transition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recording-unconfirmed recovery; pairwise and smiley input; gaze setup,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positioning, calibration and proposal; and the synthetic semantic-differential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imported German-label screens.</w:t>
      </w:r>
    </w:p>
    <w:p>
      <w:pPr>
        <w:pStyle w:val="BodyText"/>
      </w:pPr>
      <w:r>
        <w:rPr>
          <w:rFonts w:ascii="Calibri" w:hAnsi="Calibri"/>
        </w:rPr>
        <w:t xml:space="preserve">Production workflows are used where deterministic and safe. External host,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camera and callback states that cannot be produced reliably in CI use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production renderer with a deterministic UI-state fixture and are labelled as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such in every report row. This checks rendered UI only, not the external service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or hardware. The manual audit must exercise the real route.</w:t>
      </w:r>
    </w:p>
    <w:p>
      <w:pPr>
        <w:pStyle w:val="BodyText"/>
      </w:pPr>
      <w:r>
        <w:rPr>
          <w:rFonts w:ascii="Calibri" w:hAnsi="Calibri"/>
        </w:rPr>
        <w:t xml:space="preserve">Required profiles per state: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1280 × 900 CSS pixels at 100%;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768 × 900 CSS pixels at 100%;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320 × 900 CSS pixels at 100%;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Chromium CDP page-scale factor 2.0 on 1280 × 900; and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640 × 450 CSS pixels as the deterministic reflow companion for a 1280 × 900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physical window at 200% zoom.</w:t>
      </w:r>
    </w:p>
    <w:p>
      <w:pPr>
        <w:pStyle w:val="FirstParagraph"/>
      </w:pPr>
      <w:r>
        <w:rPr>
          <w:rFonts w:ascii="Calibri" w:hAnsi="Calibri"/>
        </w:rPr>
        <w:t xml:space="preserve">This produces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135 state-profile scans</w:t>
      </w:r>
      <w:r>
        <w:rPr>
          <w:rFonts w:ascii="Calibri" w:hAnsi="Calibri"/>
        </w:rPr>
        <w:t xml:space="preserve">. The report records exact Chromium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version, commit SHA, state, viewport, requested and observed scale, axe violations,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incomplete checks, overflow and target measurements. Release gates are: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all 27 × 5 state/profile combinations present;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zero automatically detected violations;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zero horizontal-overflow failures above 1 CSS pixel;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zero measured critical targets below 24 × 24 CSS pixels; and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every incomplete axe result retained for inspection, not silently counted as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pass.</w:t>
      </w:r>
    </w:p>
    <w:p>
      <w:pPr>
        <w:pStyle w:val="FirstParagraph"/>
      </w:pPr>
      <w:r>
        <w:rPr>
          <w:rFonts w:ascii="Calibri" w:hAnsi="Calibri"/>
        </w:rPr>
        <w:t xml:space="preserve">The JSON, HTML, Playwright report and failure traces are uploaded as a 90-day CI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artefact. These scans are automated technical evidence only.</w:t>
      </w:r>
    </w:p>
    <w:bookmarkEnd w:id="32"/>
    <w:bookmarkStart w:id="33" w:name="e5-cross-browser-capability-matrix"/>
    <w:p>
      <w:pPr>
        <w:pStyle w:val="Heading2"/>
        <w:keepNext/>
        <w:keepLines/>
      </w:pPr>
      <w:r>
        <w:rPr>
          <w:rFonts w:ascii="Calibri" w:hAnsi="Calibri"/>
        </w:rPr>
        <w:t xml:space="preserve">E5. Cross-browser capability matrix</w:t>
      </w:r>
    </w:p>
    <w:p>
      <w:pPr>
        <w:pStyle w:val="FirstParagraph"/>
      </w:pPr>
      <w:r>
        <w:rPr>
          <w:rFonts w:ascii="Calibri" w:hAnsi="Calibri"/>
        </w:rPr>
        <w:t xml:space="preserve">An unmodified production page is opened in Playwright Chromium, Firefox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WebKit. The test records engine/version, native SpeechRecognition and prefixed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SpeechRecognition availability, speech synthesis, local/session storage and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runner smoke test. Visible built-in voice availability must agree with actual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feature detection.</w:t>
      </w:r>
    </w:p>
    <w:p>
      <w:pPr>
        <w:pStyle w:val="BodyText"/>
      </w:pPr>
      <w:r>
        <w:rPr>
          <w:rFonts w:ascii="Calibri" w:hAnsi="Calibri"/>
        </w:rPr>
        <w:t xml:space="preserve">Firefox's lack of built-in Web Speech recognition is reported as a product-route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limitation, not treated as an AQP test failure. Playwright WebKit on Linux is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Safari and cannot stand in for VoiceOver/Safari. Actual NVDA, VoiceOver and OS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voice-control results belong only in the manual audit.</w:t>
      </w:r>
    </w:p>
    <w:bookmarkEnd w:id="33"/>
    <w:bookmarkStart w:id="34" w:name="reproducible-commands-and-artefacts"/>
    <w:p>
      <w:pPr>
        <w:pStyle w:val="Heading2"/>
        <w:keepNext/>
        <w:keepLines/>
      </w:pPr>
      <w:r>
        <w:rPr>
          <w:rFonts w:ascii="Calibri" w:hAnsi="Calibri"/>
        </w:rPr>
        <w:t xml:space="preserve">Reproducible commands and artefacts</w:t>
      </w:r>
    </w:p>
    <w:p>
      <w:pPr>
        <w:pStyle w:val="SourceCode"/>
      </w:pPr>
      <w:r>
        <w:rPr>
          <w:rStyle w:val="VerbatimChar"/>
          <w:rFonts w:ascii="Calibri" w:hAnsi="Calibri"/>
        </w:rPr>
        <w:t xml:space="preserve">npm ci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test -- --run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report:technical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build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npx playwright install --with-deps chromium firefox webkit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test:browser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test:browser-support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report:browser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report:browser-support</w:t>
      </w:r>
    </w:p>
    <w:p>
      <w:pPr>
        <w:pStyle w:val="FirstParagraph"/>
      </w:pPr>
      <w:r>
        <w:rPr>
          <w:rFonts w:ascii="Calibri" w:hAnsi="Calibri"/>
        </w:rPr>
        <w:t xml:space="preserve">Generated evidence: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rStyle w:val="VerbatimChar"/>
          <w:rFonts w:ascii="Calibri" w:hAnsi="Calibri"/>
        </w:rPr>
        <w:t xml:space="preserve">docs/evidence/technical-evaluation-report.json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.html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rStyle w:val="VerbatimChar"/>
          <w:rFonts w:ascii="Calibri" w:hAnsi="Calibri"/>
        </w:rPr>
        <w:t xml:space="preserve">docs/evidence/axe-browser-report.json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.html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rStyle w:val="VerbatimChar"/>
          <w:rFonts w:ascii="Calibri" w:hAnsi="Calibri"/>
        </w:rPr>
        <w:t xml:space="preserve">docs/evidence/cross-browser-support-report.json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.html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CI job summary, Playwright HTML report and traces; and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rStyle w:val="VerbatimChar"/>
          <w:rFonts w:ascii="Calibri" w:hAnsi="Calibri"/>
        </w:rPr>
        <w:t xml:space="preserve">docs/manual-audit/AQP-MANUAL-AT-AUDIT-v1.0.md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 separately executed manual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 observations.</w:t>
      </w:r>
    </w:p>
    <w:bookmarkEnd w:id="34"/>
    <w:bookmarkStart w:id="35" w:name="analysis-and-reporting"/>
    <w:p>
      <w:pPr>
        <w:pStyle w:val="Heading2"/>
        <w:keepNext/>
        <w:keepLines/>
      </w:pPr>
      <w:r>
        <w:rPr>
          <w:rFonts w:ascii="Calibri" w:hAnsi="Calibri"/>
        </w:rPr>
        <w:t xml:space="preserve">Analysis and reporting</w:t>
      </w:r>
    </w:p>
    <w:p>
      <w:pPr>
        <w:pStyle w:val="FirstParagraph"/>
      </w:pPr>
      <w:r>
        <w:rPr>
          <w:rFonts w:ascii="Calibri" w:hAnsi="Calibri"/>
        </w:rPr>
        <w:t xml:space="preserve">Report counts, denominators and every mismatch/failure row. Do not use inferential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statistics. Do not convert a zero axe count into a usability or conformance claim.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 not conceal an unsupported browser route inside an overall average. A failed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release is fixed and rerun, and both the final release revision and test date are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reported.</w:t>
      </w:r>
    </w:p>
    <w:bookmarkEnd w:id="35"/>
    <w:bookmarkEnd w:id="36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technical evaluation  |  Protocol v1.0 | 9 August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technical evaluation  |  Protocol v1.0 | 9 August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AQP quantified technical evaluation protocol v1.0</dc:title>
  <dc:creator>Yurui Wang</dc:creator>
  <cp:keywords>AQP, evaluation, accessibility, questionnaire</cp:keywords>
  <dcterms:created xsi:type="dcterms:W3CDTF">2026-08-10T00:40:31Z</dcterms:created>
  <dcterms:modified xsi:type="dcterms:W3CDTF">2026-08-10T00:40:31Z</dcterms:modified>
  <dc:subject>Protocol v1.0 | 9 August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