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upervisor-feedback-closure-matrix-v2"/>
    <w:p>
      <w:pPr>
        <w:pStyle w:val="Heading1"/>
        <w:keepNext/>
        <w:keepLines/>
        <w:spacing w:before="160" w:after="80"/>
      </w:pPr>
      <w:r>
        <w:rPr>
          <w:rFonts w:ascii="Calibri" w:hAnsi="Calibri"/>
          <w:b/>
          <w:color w:val="000000"/>
          <w:sz w:val="46"/>
        </w:rPr>
        <w:t xml:space="preserve">Supervisor feedback closure matrix v2</w:t>
      </w:r>
    </w:p>
    <w:p>
      <w:pPr>
        <w:pStyle w:val="FirstParagraph"/>
      </w:pPr>
      <w:r>
        <w:rPr>
          <w:rFonts w:ascii="Calibri" w:hAnsi="Calibri"/>
        </w:rPr>
        <w:t xml:space="preserve">Version: 2.4</w:t>
      </w:r>
      <w:r>
        <w:rPr>
          <w:rFonts w:ascii="Calibri" w:hAnsi="Calibri"/>
        </w:rPr>
        <w:br/>
      </w:r>
      <w:r>
        <w:rPr>
          <w:rFonts w:ascii="Calibri" w:hAnsi="Calibri"/>
        </w:rPr>
        <w:t xml:space="preserve">Frozen: 2026-08-10</w:t>
      </w:r>
      <w:r>
        <w:rPr>
          <w:rFonts w:ascii="Calibri" w:hAnsi="Calibri"/>
        </w:rPr>
        <w:br/>
      </w:r>
      <w:r>
        <w:rPr>
          <w:rFonts w:ascii="Calibri" w:hAnsi="Calibri"/>
        </w:rPr>
        <w:t xml:space="preserve">Candidate branch: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feat/researcher-wizard</w:t>
      </w:r>
      <w:r>
        <w:rPr>
          <w:rFonts w:ascii="Calibri" w:hAnsi="Calibri"/>
        </w:rPr>
        <w:br/>
      </w:r>
      <w:r>
        <w:rPr>
          <w:rFonts w:ascii="Calibri" w:hAnsi="Calibri"/>
        </w:rPr>
        <w:t xml:space="preserve">Release rule: implementation is not marked release-complete until the named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test passes in CI for an immutable commit, its report is retained, the same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commit is deployed, and the deployment is re-tested.</w:t>
      </w:r>
    </w:p>
    <w:bookmarkStart w:id="20" w:name="status-codes"/>
    <w:p>
      <w:pPr>
        <w:pStyle w:val="Heading2"/>
        <w:keepNext/>
        <w:keepLines/>
      </w:pPr>
      <w:r>
        <w:rPr>
          <w:rFonts w:ascii="Calibri" w:hAnsi="Calibri"/>
        </w:rPr>
        <w:t xml:space="preserve">Status codes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bCs/>
          <w:rFonts w:ascii="Calibri" w:hAnsi="Calibri"/>
          <w:b/>
        </w:rPr>
        <w:t xml:space="preserve">Local-pass: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production code and a falsifiable local test pass.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bCs/>
          <w:rFonts w:ascii="Calibri" w:hAnsi="Calibri"/>
          <w:b/>
        </w:rPr>
        <w:t xml:space="preserve">CI-pending: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 real-browser or release result needs the Draft PR CI run.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bCs/>
          <w:rFonts w:ascii="Calibri" w:hAnsi="Calibri"/>
          <w:b/>
        </w:rPr>
        <w:t xml:space="preserve">CI-pass: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the named Draft PR commit and retained artefact satisfy the stated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candidate gate; final main/deployment evidence is still separate.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bCs/>
          <w:rFonts w:ascii="Calibri" w:hAnsi="Calibri"/>
          <w:b/>
        </w:rPr>
        <w:t xml:space="preserve">Manual-NT: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the required observation has not been made and is not counted.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bCs/>
          <w:rFonts w:ascii="Calibri" w:hAnsi="Calibri"/>
          <w:b/>
        </w:rPr>
        <w:t xml:space="preserve">Protocol-ready: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 complete method exists but no participant data exist.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bCs/>
          <w:rFonts w:ascii="Calibri" w:hAnsi="Calibri"/>
          <w:b/>
        </w:rPr>
        <w:t xml:space="preserve">Blocked: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 named external decision, permission or approval is missing.</w:t>
      </w:r>
    </w:p>
    <w:bookmarkEnd w:id="20"/>
    <w:bookmarkStart w:id="21" w:name="a-first-five-code-corrections"/>
    <w:p>
      <w:pPr>
        <w:pStyle w:val="Heading2"/>
        <w:keepNext/>
        <w:keepLines/>
      </w:pPr>
      <w:r>
        <w:rPr>
          <w:rFonts w:ascii="Calibri" w:hAnsi="Calibri"/>
        </w:rPr>
        <w:t xml:space="preserve">A. First five code corrections</w:t>
      </w:r>
    </w:p>
    <w:tbl>
      <w:tblPr>
        <w:tblW w:type="dxa" w:w="1411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648"/>
        <w:gridCol w:w="2376"/>
        <w:gridCol w:w="3168"/>
        <w:gridCol w:w="3024"/>
        <w:gridCol w:w="2088"/>
        <w:gridCol w:w="2808"/>
      </w:tblGrid>
      <w:tr>
        <w:trPr>
          <w:tblHeader w:val="true"/>
          <w:tblHeader w:val="true"/>
          <w:cantSplit/>
        </w:trPr>
        <w:tc>
          <w:tcPr>
            <w:vAlign w:val="top"/>
            <w:tcW w:type="dxa" w:w="64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ID</w:t>
            </w:r>
          </w:p>
        </w:tc>
        <w:tc>
          <w:tcPr>
            <w:vAlign w:val="top"/>
            <w:tcW w:type="dxa" w:w="2376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Supervisor requirement</w:t>
            </w:r>
          </w:p>
        </w:tc>
        <w:tc>
          <w:tcPr>
            <w:vAlign w:val="top"/>
            <w:tcW w:type="dxa" w:w="316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Implemented evidence</w:t>
            </w:r>
          </w:p>
        </w:tc>
        <w:tc>
          <w:tcPr>
            <w:vAlign w:val="top"/>
            <w:tcW w:type="dxa" w:w="302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Falsifiable evidence</w:t>
            </w:r>
          </w:p>
        </w:tc>
        <w:tc>
          <w:tcPr>
            <w:vAlign w:val="top"/>
            <w:tcW w:type="dxa" w:w="208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Current status</w:t>
            </w:r>
          </w:p>
        </w:tc>
        <w:tc>
          <w:tcPr>
            <w:vAlign w:val="top"/>
            <w:tcW w:type="dxa" w:w="280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Final gate</w:t>
            </w:r>
          </w:p>
        </w:tc>
      </w:tr>
      <w:tr>
        <w:trPr>
          <w:cantSplit/>
        </w:trPr>
        <w:tc>
          <w:tcPr>
            <w:tcW w:type="dxa" w:w="64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F1</w:t>
            </w:r>
          </w:p>
        </w:tc>
        <w:tc>
          <w:tcPr>
            <w:tcW w:type="dxa" w:w="23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Review shows the item statement, selected answer meaning and one direct Change control per item.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Style w:val="VerbatimChar"/>
                <w:rFonts w:ascii="Calibri" w:hAnsi="Calibri"/>
                <w:sz w:val="15"/>
              </w:rPr>
              <w:t xml:space="preserve">source/src/accessible-nasa-tlx.ts</w:t>
            </w:r>
            <w:r>
              <w:rPr>
                <w:rFonts w:ascii="Calibri" w:hAnsi="Calibri"/>
                <w:sz w:val="15"/>
              </w:rPr>
              <w:t xml:space="preserve">: review records; a declared label for the selected value or, when no such label exists, the declared scale endpoints without invented wording; unique visible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bCs/>
                <w:rFonts w:ascii="Calibri" w:hAnsi="Calibri"/>
                <w:b/>
                <w:sz w:val="15"/>
              </w:rPr>
              <w:t xml:space="preserve">Change item N answer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labels; gaze targets; direct edit and focus return; transactional pending value/input route.</w:t>
            </w:r>
          </w:p>
        </w:tc>
        <w:tc>
          <w:tcPr>
            <w:tcW w:type="dxa" w:w="30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Component and rendered-browser routes use Brooke's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5, 1, 4, 2, 3, 5, 1, 4, 2, 3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vector and directly assert Mark's Item 3 = 4 case. They also test direct Save and real Cancel-after-selection. Before Save, recovery storage remains on Review with the original value, input route and score; Cancel retains them; Save alone commits. A failure includes a missing prompt, missing declared selected label/endpoint context, invented label, non-unique or non-targetable Change control, opening the wrong item, false cancellation, premature storage, changing another answer or failing to return focus.</w:t>
            </w:r>
          </w:p>
        </w:tc>
        <w:tc>
          <w:tcPr>
            <w:tcW w:type="dxa" w:w="20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CI-pass on candidate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9a8c849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in run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31392425368</w:t>
            </w:r>
            <w:r>
              <w:rPr>
                <w:rFonts w:ascii="Calibri" w:hAnsi="Calibri"/>
                <w:sz w:val="15"/>
              </w:rPr>
              <w:t xml:space="preserve">. Manual A16/A17/A21 and final deployment acceptance remain pending.</w:t>
            </w:r>
          </w:p>
        </w:tc>
        <w:tc>
          <w:tcPr>
            <w:tcW w:type="dxa" w:w="28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Execute A16/A17/A21; then merge only with authority, deploy and smoke-test Item 3 = 4 plus both Save and Cancel on the public build.</w:t>
            </w:r>
          </w:p>
        </w:tc>
      </w:tr>
      <w:tr>
        <w:trPr>
          <w:cantSplit/>
        </w:trPr>
        <w:tc>
          <w:tcPr>
            <w:tcW w:type="dxa" w:w="64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F2</w:t>
            </w:r>
          </w:p>
        </w:tc>
        <w:tc>
          <w:tcPr>
            <w:tcW w:type="dxa" w:w="23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Participant code is prefilled from the generated link and remains editable as fallback.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Style w:val="VerbatimChar"/>
                <w:rFonts w:ascii="Calibri" w:hAnsi="Calibri"/>
                <w:sz w:val="15"/>
              </w:rPr>
              <w:t xml:space="preserve">source/src/study.ts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and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study-conductor.ts</w:t>
            </w:r>
            <w:r>
              <w:rPr>
                <w:rFonts w:ascii="Calibri" w:hAnsi="Calibri"/>
                <w:sz w:val="15"/>
              </w:rPr>
              <w:t xml:space="preserve">: per-link pseudonymous code, validation, hash-navigation reload and committed-session precedence; the Skip link preserves the application hash.</w:t>
            </w:r>
          </w:p>
        </w:tc>
        <w:tc>
          <w:tcPr>
            <w:tcW w:type="dxa" w:w="30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Component and rendered-browser routes cover distinct generated links, same-tab P001 → P002 replacement without a test-only reload, missing/manual/invalid codes, committed correction recovery, Skip focus/hash preservation and final-record identity.</w:t>
            </w:r>
          </w:p>
        </w:tc>
        <w:tc>
          <w:tcPr>
            <w:tcW w:type="dxa" w:w="20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CI-pass on candidate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9a8c849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in run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31392425368</w:t>
            </w:r>
            <w:r>
              <w:rPr>
                <w:rFonts w:ascii="Calibri" w:hAnsi="Calibri"/>
                <w:sz w:val="15"/>
              </w:rPr>
              <w:t xml:space="preserve">. Manual A02 and final deployment acceptance remain pending.</w:t>
            </w:r>
          </w:p>
        </w:tc>
        <w:tc>
          <w:tcPr>
            <w:tcW w:type="dxa" w:w="28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Execute A02; after an authorised deployment, open two distinct generated links, confirm distinct editable codes and no first-screen validation error, exercise Skip, reload and confirm the same identity/session.</w:t>
            </w:r>
          </w:p>
        </w:tc>
      </w:tr>
      <w:tr>
        <w:trPr>
          <w:cantSplit/>
        </w:trPr>
        <w:tc>
          <w:tcPr>
            <w:tcW w:type="dxa" w:w="64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F3</w:t>
            </w:r>
          </w:p>
        </w:tc>
        <w:tc>
          <w:tcPr>
            <w:tcW w:type="dxa" w:w="23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Participant introduction is minimal; full audio guidance appears once, not before every item.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Intro/support disclosure and compact in-question controls in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accessible-nasa-tlx.ts</w:t>
            </w:r>
            <w:r>
              <w:rPr>
                <w:rFonts w:ascii="Calibri" w:hAnsi="Calibri"/>
                <w:sz w:val="15"/>
              </w:rPr>
              <w:t xml:space="preserve">; the full audio-guidance panel is confined to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bCs/>
                <w:rFonts w:ascii="Calibri" w:hAnsi="Calibri"/>
                <w:b/>
                <w:sz w:val="15"/>
              </w:rPr>
              <w:t xml:space="preserve">Accessibility and audio options (optional)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on the introduction.</w:t>
            </w:r>
          </w:p>
        </w:tc>
        <w:tc>
          <w:tcPr>
            <w:tcW w:type="dxa" w:w="30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Real-browser regression requires the optional disclosure to start collapsed, one intro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.audio-guidance</w:t>
            </w:r>
            <w:r>
              <w:rPr>
                <w:rFonts w:ascii="Calibri" w:hAnsi="Calibri"/>
                <w:sz w:val="15"/>
              </w:rPr>
              <w:t xml:space="preserve">, fewer than 160 visible intro words, and no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.process-overview</w:t>
            </w:r>
            <w:r>
              <w:rPr>
                <w:rFonts w:ascii="Calibri" w:hAnsi="Calibri"/>
                <w:sz w:val="15"/>
              </w:rPr>
              <w:t xml:space="preserve">,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.factor-reference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or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.study-details</w:t>
            </w:r>
            <w:r>
              <w:rPr>
                <w:rFonts w:ascii="Calibri" w:hAnsi="Calibri"/>
                <w:sz w:val="15"/>
              </w:rPr>
              <w:t xml:space="preserve">;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.audio-guidance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must be absent after Start and on Review. Component coverage also checks the NASA-TLX rating, pairwise and review route.</w:t>
            </w:r>
          </w:p>
        </w:tc>
        <w:tc>
          <w:tcPr>
            <w:tcW w:type="dxa" w:w="20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CI-pass on candidate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9a8c849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in run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31392425368</w:t>
            </w:r>
            <w:r>
              <w:rPr>
                <w:rFonts w:ascii="Calibri" w:hAnsi="Calibri"/>
                <w:sz w:val="15"/>
              </w:rPr>
              <w:t xml:space="preserve">. This proves bounded removal of AQP-owned boilerplate and repetition, not reduced cognitive burden or short researcher-supplied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introPrompt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content. Manual A01/A03/A04 and final deployment acceptance remain pending.</w:t>
            </w:r>
          </w:p>
        </w:tc>
        <w:tc>
          <w:tcPr>
            <w:tcW w:type="dxa" w:w="28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Execute A01/A03/A04; after an authorised deployment, inspect intro/item/pairwise/review. Treat the word limit as a regression threshold, not evidence of cognitive accessibility.</w:t>
            </w:r>
          </w:p>
        </w:tc>
      </w:tr>
      <w:tr>
        <w:trPr>
          <w:cantSplit/>
        </w:trPr>
        <w:tc>
          <w:tcPr>
            <w:tcW w:type="dxa" w:w="64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F4</w:t>
            </w:r>
          </w:p>
        </w:tc>
        <w:tc>
          <w:tcPr>
            <w:tcW w:type="dxa" w:w="23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Canonical definition hash is in configuration and result and is verified at load and submission.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Version 4 configuration/result schemas, canonical SHA-256, CSV/Qualtrics fields and fail-closed checks.</w:t>
            </w:r>
          </w:p>
        </w:tc>
        <w:tc>
          <w:tcPr>
            <w:tcW w:type="dxa" w:w="30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Missing/stale hash link, submission and stored-result tamper tests; export reconstruction test.</w:t>
            </w:r>
          </w:p>
        </w:tc>
        <w:tc>
          <w:tcPr>
            <w:tcW w:type="dxa" w:w="20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Local-pass.</w:t>
            </w:r>
          </w:p>
        </w:tc>
        <w:tc>
          <w:tcPr>
            <w:tcW w:type="dxa" w:w="28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CI and deployed tampered-link/submission checks. The hash proves consistency, not authenticated authorship.</w:t>
            </w:r>
          </w:p>
        </w:tc>
      </w:tr>
      <w:tr>
        <w:trPr>
          <w:cantSplit/>
        </w:trPr>
        <w:tc>
          <w:tcPr>
            <w:tcW w:type="dxa" w:w="64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F5</w:t>
            </w:r>
          </w:p>
        </w:tc>
        <w:tc>
          <w:tcPr>
            <w:tcW w:type="dxa" w:w="23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Real-browser axe scans run in CI and publish a report.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Playwright specification,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verify.yml</w:t>
            </w:r>
            <w:r>
              <w:rPr>
                <w:rFonts w:ascii="Calibri" w:hAnsi="Calibri"/>
                <w:sz w:val="15"/>
              </w:rPr>
              <w:t xml:space="preserve">, JSON/HTML publisher and uploaded Playwright traces/results.</w:t>
            </w:r>
          </w:p>
        </w:tc>
        <w:tc>
          <w:tcPr>
            <w:tcW w:type="dxa" w:w="30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Frozen S01–S27 inventory × five profiles = 135 required rows; missing rows, violations, incomplete checks, overflow and target-size failures are reported.</w:t>
            </w:r>
          </w:p>
        </w:tc>
        <w:tc>
          <w:tcPr>
            <w:tcW w:type="dxa" w:w="20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CI-pass on candidate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816e1c4</w:t>
            </w:r>
            <w:r>
              <w:rPr>
                <w:rFonts w:ascii="Calibri" w:hAnsi="Calibri"/>
                <w:sz w:val="15"/>
              </w:rPr>
              <w:t xml:space="preserve">: 135/135 rows, 0 violations, 0 overflow failures, 0 critical target-size failures and 0 missing combinations. Thirteen incomplete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color-contrast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scan results involving 20 gaze-state node occurrences are listed with targets/failure summaries and remain inspection items; a target may recur across state/profile rows.</w:t>
            </w:r>
          </w:p>
        </w:tc>
        <w:tc>
          <w:tcPr>
            <w:tcW w:type="dxa" w:w="28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Manually determine and record every overlap-dependent contrast occurrence; repeat the automated run on final main/release SHA.</w:t>
            </w:r>
          </w:p>
        </w:tc>
      </w:tr>
    </w:tbl>
    <w:bookmarkEnd w:id="21"/>
    <w:bookmarkStart w:id="22" w:name="Xb1d9d79430ef10e0abb050ce7d647200acfc939"/>
    <w:p>
      <w:pPr>
        <w:pStyle w:val="Heading2"/>
        <w:keepNext/>
        <w:keepLines/>
      </w:pPr>
      <w:r>
        <w:rPr>
          <w:rFonts w:ascii="Calibri" w:hAnsi="Calibri"/>
        </w:rPr>
        <w:t xml:space="preserve">B. Latest feedback, section 1 — manual technical accessibility audit</w:t>
      </w:r>
    </w:p>
    <w:tbl>
      <w:tblPr>
        <w:tblW w:type="dxa" w:w="1411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2605"/>
        <w:gridCol w:w="3908"/>
        <w:gridCol w:w="3908"/>
        <w:gridCol w:w="3691"/>
      </w:tblGrid>
      <w:tr>
        <w:trPr>
          <w:tblHeader w:val="true"/>
          <w:tblHeader w:val="true"/>
          <w:cantSplit/>
        </w:trPr>
        <w:tc>
          <w:tcPr>
            <w:vAlign w:val="top"/>
            <w:tcW w:type="dxa" w:w="2605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Requirement</w:t>
            </w:r>
          </w:p>
        </w:tc>
        <w:tc>
          <w:tcPr>
            <w:vAlign w:val="top"/>
            <w:tcW w:type="dxa" w:w="390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Evidence artefact</w:t>
            </w:r>
          </w:p>
        </w:tc>
        <w:tc>
          <w:tcPr>
            <w:vAlign w:val="top"/>
            <w:tcW w:type="dxa" w:w="390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Current status</w:t>
            </w:r>
          </w:p>
        </w:tc>
        <w:tc>
          <w:tcPr>
            <w:vAlign w:val="top"/>
            <w:tcW w:type="dxa" w:w="3691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Completion rule</w:t>
            </w:r>
          </w:p>
        </w:tc>
      </w:tr>
      <w:tr>
        <w:trPr>
          <w:cantSplit/>
        </w:trPr>
        <w:tc>
          <w:tcPr>
            <w:tcW w:type="dxa" w:w="260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NVDA/Firefox, NVDA/Chrome, VoiceOver/Safari and one OS voice-control walkthrough.</w:t>
            </w:r>
          </w:p>
        </w:tc>
        <w:tc>
          <w:tcPr>
            <w:tcW w:type="dxa" w:w="39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Style w:val="VerbatimChar"/>
                <w:rFonts w:ascii="Calibri" w:hAnsi="Calibri"/>
                <w:sz w:val="15"/>
              </w:rPr>
              <w:t xml:space="preserve">docs/manual-audit/AQP-MANUAL-AT-AUDIT-v1.0.md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(protocol v1.3).</w:t>
            </w:r>
          </w:p>
        </w:tc>
        <w:tc>
          <w:tcPr>
            <w:tcW w:type="dxa" w:w="39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Manual-NT on all four routes.</w:t>
            </w:r>
          </w:p>
        </w:tc>
        <w:tc>
          <w:tcPr>
            <w:tcW w:type="dxa" w:w="369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Record exact OS/browser/AT versions and replace every applicable NT with P/F/NA plus evidence ID.</w:t>
            </w:r>
          </w:p>
        </w:tc>
      </w:tr>
      <w:tr>
        <w:trPr>
          <w:cantSplit/>
        </w:trPr>
        <w:tc>
          <w:tcPr>
            <w:tcW w:type="dxa" w:w="260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Cover every participant state, including pairwise, review, error, voice listening/pending and saved-progress offer.</w:t>
            </w:r>
          </w:p>
        </w:tc>
        <w:tc>
          <w:tcPr>
            <w:tcW w:type="dxa" w:w="39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S01–S27 maps to A01–A33 in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docs/PARTICIPANT-RUNNER-STATE-INVENTORY-v1.md</w:t>
            </w:r>
            <w:r>
              <w:rPr>
                <w:rFonts w:ascii="Calibri" w:hAnsi="Calibri"/>
                <w:sz w:val="15"/>
              </w:rPr>
              <w:t xml:space="preserve">.</w:t>
            </w:r>
          </w:p>
        </w:tc>
        <w:tc>
          <w:tcPr>
            <w:tcW w:type="dxa" w:w="39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Protocol-ready; observations NT.</w:t>
            </w:r>
          </w:p>
        </w:tc>
        <w:tc>
          <w:tcPr>
            <w:tcW w:type="dxa" w:w="369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Run A01–A33 on the applicable routes; an untested state cannot be inferred from source or axe.</w:t>
            </w:r>
          </w:p>
        </w:tc>
      </w:tr>
      <w:tr>
        <w:trPr>
          <w:cantSplit/>
        </w:trPr>
        <w:tc>
          <w:tcPr>
            <w:tcW w:type="dxa" w:w="260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Report by WCAG criterion with exact announcements and treat unusable markup as fail.</w:t>
            </w:r>
          </w:p>
        </w:tc>
        <w:tc>
          <w:tcPr>
            <w:tcW w:type="dxa" w:w="39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WCAG route summary, exact-speech fields, P/F/NA/NT rules and S1–S3 issue log in the audit.</w:t>
            </w:r>
          </w:p>
        </w:tc>
        <w:tc>
          <w:tcPr>
            <w:tcW w:type="dxa" w:w="39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Protocol-ready; observations NT.</w:t>
            </w:r>
          </w:p>
        </w:tc>
        <w:tc>
          <w:tcPr>
            <w:tcW w:type="dxa" w:w="369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Transcribe actual speech, including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[no announcement]</w:t>
            </w:r>
            <w:r>
              <w:rPr>
                <w:rFonts w:ascii="Calibri" w:hAnsi="Calibri"/>
                <w:sz w:val="15"/>
              </w:rPr>
              <w:t xml:space="preserve">; zero NT before calling the audit complete.</w:t>
            </w:r>
          </w:p>
        </w:tc>
      </w:tr>
      <w:tr>
        <w:trPr>
          <w:cantSplit/>
        </w:trPr>
        <w:tc>
          <w:tcPr>
            <w:tcW w:type="dxa" w:w="260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Publish a versioned audit and bound the claim.</w:t>
            </w:r>
          </w:p>
        </w:tc>
        <w:tc>
          <w:tcPr>
            <w:tcW w:type="dxa" w:w="39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Audit publication wording and matrix C2.</w:t>
            </w:r>
          </w:p>
        </w:tc>
        <w:tc>
          <w:tcPr>
            <w:tcW w:type="dxa" w:w="39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Document ready; C2 Not evidenced.</w:t>
            </w:r>
          </w:p>
        </w:tc>
        <w:tc>
          <w:tcPr>
            <w:tcW w:type="dxa" w:w="369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Publish only after execution; state technical audit only and no disabled-user benefit evidence.</w:t>
            </w:r>
          </w:p>
        </w:tc>
      </w:tr>
    </w:tbl>
    <w:bookmarkEnd w:id="22"/>
    <w:bookmarkStart w:id="23" w:name="Xfa5c0594cceacd298a1a921dbf5fea80a7de467"/>
    <w:p>
      <w:pPr>
        <w:pStyle w:val="Heading2"/>
        <w:keepNext/>
        <w:keepLines/>
      </w:pPr>
      <w:r>
        <w:rPr>
          <w:rFonts w:ascii="Calibri" w:hAnsi="Calibri"/>
        </w:rPr>
        <w:t xml:space="preserve">C. Latest feedback, section 2 — quantified technical evaluation</w:t>
      </w:r>
    </w:p>
    <w:tbl>
      <w:tblPr>
        <w:tblW w:type="dxa" w:w="1411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2822"/>
        <w:gridCol w:w="2822"/>
        <w:gridCol w:w="2822"/>
        <w:gridCol w:w="2822"/>
        <w:gridCol w:w="2824"/>
      </w:tblGrid>
      <w:tr>
        <w:trPr>
          <w:tblHeader w:val="true"/>
          <w:tblHeader w:val="true"/>
          <w:cantSplit/>
        </w:trPr>
        <w:tc>
          <w:tcPr>
            <w:vAlign w:val="top"/>
            <w:tcW w:type="dxa" w:w="2822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ID</w:t>
            </w:r>
          </w:p>
        </w:tc>
        <w:tc>
          <w:tcPr>
            <w:vAlign w:val="top"/>
            <w:tcW w:type="dxa" w:w="2822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Required evaluation</w:t>
            </w:r>
          </w:p>
        </w:tc>
        <w:tc>
          <w:tcPr>
            <w:vAlign w:val="top"/>
            <w:tcW w:type="dxa" w:w="2822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Reproducible artefact</w:t>
            </w:r>
          </w:p>
        </w:tc>
        <w:tc>
          <w:tcPr>
            <w:vAlign w:val="top"/>
            <w:tcW w:type="dxa" w:w="2822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Current quantified result</w:t>
            </w:r>
          </w:p>
        </w:tc>
        <w:tc>
          <w:tcPr>
            <w:vAlign w:val="top"/>
            <w:tcW w:type="dxa" w:w="282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Status/gap</w:t>
            </w:r>
          </w:p>
        </w:tc>
      </w:tr>
      <w:tr>
        <w:trPr>
          <w:cantSplit/>
        </w:trPr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T1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Programmatic fidelity round trip against independent truth for built-ins and every QSF/LSS/LSG/LSQ fixture.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Style w:val="VerbatimChar"/>
                <w:rFonts w:ascii="Calibri" w:hAnsi="Calibri"/>
                <w:sz w:val="15"/>
              </w:rPr>
              <w:t xml:space="preserve">docs/evidence/fidelity-source-of-truth.json</w:t>
            </w:r>
            <w:r>
              <w:rPr>
                <w:rFonts w:ascii="Calibri" w:hAnsi="Calibri"/>
                <w:sz w:val="15"/>
              </w:rPr>
              <w:t xml:space="preserve">,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source/tests/technical-evaluation.test.ts</w:t>
            </w:r>
            <w:r>
              <w:rPr>
                <w:rFonts w:ascii="Calibri" w:hAnsi="Calibri"/>
                <w:sz w:val="15"/>
              </w:rPr>
              <w:t xml:space="preserve">, generated JSON/HTML report.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8 cases, 31 items, 234 field comparisons, 0 mismatches.</w:t>
            </w:r>
          </w:p>
        </w:tc>
        <w:tc>
          <w:tcPr>
            <w:tcW w:type="dxa" w:w="28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CI-pass on candidate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816e1c4</w:t>
            </w:r>
            <w:r>
              <w:rPr>
                <w:rFonts w:ascii="Calibri" w:hAnsi="Calibri"/>
                <w:sz w:val="15"/>
              </w:rPr>
              <w:t xml:space="preserve">. Only three distributable built-ins are present; UEQ-S is excluded pending redistribution permission. This is a disclosed scope shortfall, not a fourth pass.</w:t>
            </w:r>
          </w:p>
        </w:tc>
      </w:tr>
      <w:tr>
        <w:trPr>
          <w:cantSplit/>
        </w:trPr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T2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Twelve-row adversarial battery and zero silently altered.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Same technical test/report.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12 inputs: 10 specific refusals, 2 generic XML refusals, 0 accepted losses, 0 silently altered.</w:t>
            </w:r>
          </w:p>
        </w:tc>
        <w:tc>
          <w:tcPr>
            <w:tcW w:type="dxa" w:w="28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CI-pass on candidate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816e1c4</w:t>
            </w:r>
            <w:r>
              <w:rPr>
                <w:rFonts w:ascii="Calibri" w:hAnsi="Calibri"/>
                <w:sz w:val="15"/>
              </w:rPr>
              <w:t xml:space="preserve">; final main/release reproduction pending.</w:t>
            </w:r>
          </w:p>
        </w:tc>
      </w:tr>
      <w:tr>
        <w:trPr>
          <w:cantSplit/>
        </w:trPr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T3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Every runner state at 1280, 768, 320 and 200% zoom, with build artefact.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Frozen state inventory, Playwright/axe spec, CI workflow and report publisher.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135/135 required state/profile rows; 0 violations; 13 incomplete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color-contrast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scan results involving 20 node occurrences; 0 overflow failures; 0 critical target-size failures; and 0 missing rows.</w:t>
            </w:r>
          </w:p>
        </w:tc>
        <w:tc>
          <w:tcPr>
            <w:tcW w:type="dxa" w:w="28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CI-pass on candidate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816e1c4</w:t>
            </w:r>
            <w:r>
              <w:rPr>
                <w:rFonts w:ascii="Calibri" w:hAnsi="Calibri"/>
                <w:sz w:val="15"/>
              </w:rPr>
              <w:t xml:space="preserve">. Deterministic fixtures are labelled where external host/hardware callbacks are simulated. Incomplete contrast occurrences require recorded inspection and are not automatic passes.</w:t>
            </w:r>
          </w:p>
        </w:tc>
      </w:tr>
      <w:tr>
        <w:trPr>
          <w:cantSplit/>
        </w:trPr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T4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Cross-browser support matrix and explicit Firefox/Web Speech limitation.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Style w:val="VerbatimChar"/>
                <w:rFonts w:ascii="Calibri" w:hAnsi="Calibri"/>
                <w:sz w:val="15"/>
              </w:rPr>
              <w:t xml:space="preserve">source/tests/e2e-support/cross-browser-support.spec.ts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and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docs/CROSS-BROWSER-SUPPORT-MATRIX.md</w:t>
            </w:r>
            <w:r>
              <w:rPr>
                <w:rFonts w:ascii="Calibri" w:hAnsi="Calibri"/>
                <w:sz w:val="15"/>
              </w:rPr>
              <w:t xml:space="preserve">.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Capability test passed the production runner smoke route in Chromium, Firefox and Playwright WebKit; SpeechRecognition present in Chromium and absent in Firefox/WebKit.</w:t>
            </w:r>
          </w:p>
        </w:tc>
        <w:tc>
          <w:tcPr>
            <w:tcW w:type="dxa" w:w="28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CI-pass on candidate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816e1c4</w:t>
            </w:r>
            <w:r>
              <w:rPr>
                <w:rFonts w:ascii="Calibri" w:hAnsi="Calibri"/>
                <w:sz w:val="15"/>
              </w:rPr>
              <w:t xml:space="preserve">; WebKit/Linux is not Safari/VoiceOver evidence and OS voice control remains not assessed.</w:t>
            </w:r>
          </w:p>
        </w:tc>
      </w:tr>
      <w:tr>
        <w:trPr>
          <w:cantSplit/>
        </w:trPr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T5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Reconstruct definition, response set and score from export alone.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Technical evaluation reconstruction rows and self-contained result definition.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8/8 exports and 31/31 responses reconstructed, 0 mismatches.</w:t>
            </w:r>
          </w:p>
        </w:tc>
        <w:tc>
          <w:tcPr>
            <w:tcW w:type="dxa" w:w="28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CI-pass on candidate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816e1c4</w:t>
            </w:r>
            <w:r>
              <w:rPr>
                <w:rFonts w:ascii="Calibri" w:hAnsi="Calibri"/>
                <w:sz w:val="15"/>
              </w:rPr>
              <w:t xml:space="preserve">; final main/release reproduction pending.</w:t>
            </w:r>
          </w:p>
        </w:tc>
      </w:tr>
      <w:tr>
        <w:trPr>
          <w:cantSplit/>
        </w:trPr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T6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Quantify definition-driven reuse rather than assume it.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Technical evaluation reuse/allowlist rows.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5 compatible imports admitted as data with 0 instrument-specific production files; 96/96 shared contract executions with 0 test copies; 16/16 allowlist combinations match.</w:t>
            </w:r>
          </w:p>
        </w:tc>
        <w:tc>
          <w:tcPr>
            <w:tcW w:type="dxa" w:w="28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CI-pass on candidate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816e1c4</w:t>
            </w:r>
            <w:r>
              <w:rPr>
                <w:rFonts w:ascii="Calibri" w:hAnsi="Calibri"/>
                <w:sz w:val="15"/>
              </w:rPr>
              <w:t xml:space="preserve">. A new scorer/response structure remains an executable boundary and is not a data-only pass.</w:t>
            </w:r>
          </w:p>
        </w:tc>
      </w:tr>
    </w:tbl>
    <w:bookmarkEnd w:id="23"/>
    <w:bookmarkStart w:id="24" w:name="d-latest-feedback-section-3--matrix-v6"/>
    <w:p>
      <w:pPr>
        <w:pStyle w:val="Heading2"/>
        <w:keepNext/>
        <w:keepLines/>
      </w:pPr>
      <w:r>
        <w:rPr>
          <w:rFonts w:ascii="Calibri" w:hAnsi="Calibri"/>
        </w:rPr>
        <w:t xml:space="preserve">D. Latest feedback, section 3 — matrix v6</w:t>
      </w:r>
    </w:p>
    <w:tbl>
      <w:tblPr>
        <w:tblW w:type="dxa" w:w="1411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4342"/>
        <w:gridCol w:w="4776"/>
        <w:gridCol w:w="4994"/>
      </w:tblGrid>
      <w:tr>
        <w:trPr>
          <w:tblHeader w:val="true"/>
          <w:tblHeader w:val="true"/>
          <w:cantSplit/>
        </w:trPr>
        <w:tc>
          <w:tcPr>
            <w:vAlign w:val="top"/>
            <w:tcW w:type="dxa" w:w="4342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Requirement</w:t>
            </w:r>
          </w:p>
        </w:tc>
        <w:tc>
          <w:tcPr>
            <w:vAlign w:val="top"/>
            <w:tcW w:type="dxa" w:w="4776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Resolution</w:t>
            </w:r>
          </w:p>
        </w:tc>
        <w:tc>
          <w:tcPr>
            <w:vAlign w:val="top"/>
            <w:tcW w:type="dxa" w:w="499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Current status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Remove C6 rather than leave it unevidenced.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C6 is in a Removed row, not an active claim.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Complete.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Give C2 a decision rule for the new audit design.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C2 requires 135 browser rows plus complete manual P/F/NA observations and no S3 failure on a supported route.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Rule complete; evidence Not evidenced.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Give C5 a decision rule for the optional observed researcher study.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C5 freezes success, time, assist/error, discrepancy, SEQ/SUS and second-coder evidence and prohibits significance tests.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Rule complete; study Not evidenced.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Make C7's definition hash checkable.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C7 requires canonical hash agreement, rejection of missing/stale Version 4 hashes and export-only reconstruction.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Local-pass; release verification pending.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Fill every evidence status, including Not evidenced.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Style w:val="VerbatimChar"/>
                <w:rFonts w:ascii="Calibri" w:hAnsi="Calibri"/>
                <w:sz w:val="15"/>
              </w:rPr>
              <w:t xml:space="preserve">docs/AQP-EVALUATION-MATRIX-v6.md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v6.2 has a status for every active row.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Complete for the candidate state; update only after new evidence.</w:t>
            </w:r>
          </w:p>
        </w:tc>
      </w:tr>
    </w:tbl>
    <w:bookmarkEnd w:id="24"/>
    <w:bookmarkStart w:id="25" w:name="Xf1191037a1d04ca3ee7fc482a87a5190dad0f4c"/>
    <w:p>
      <w:pPr>
        <w:pStyle w:val="Heading2"/>
        <w:keepNext/>
        <w:keepLines/>
      </w:pPr>
      <w:r>
        <w:rPr>
          <w:rFonts w:ascii="Calibri" w:hAnsi="Calibri"/>
        </w:rPr>
        <w:t xml:space="preserve">E. Latest feedback, section 4 — optional observed researcher protocol</w:t>
      </w:r>
    </w:p>
    <w:tbl>
      <w:tblPr>
        <w:tblW w:type="dxa" w:w="1411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4342"/>
        <w:gridCol w:w="4776"/>
        <w:gridCol w:w="4994"/>
      </w:tblGrid>
      <w:tr>
        <w:trPr>
          <w:tblHeader w:val="true"/>
          <w:tblHeader w:val="true"/>
          <w:cantSplit/>
        </w:trPr>
        <w:tc>
          <w:tcPr>
            <w:vAlign w:val="top"/>
            <w:tcW w:type="dxa" w:w="4342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Requirement</w:t>
            </w:r>
          </w:p>
        </w:tc>
        <w:tc>
          <w:tcPr>
            <w:vAlign w:val="top"/>
            <w:tcW w:type="dxa" w:w="4776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Frozen resolution</w:t>
            </w:r>
          </w:p>
        </w:tc>
        <w:tc>
          <w:tcPr>
            <w:vAlign w:val="top"/>
            <w:tcW w:type="dxa" w:w="499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Current status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Define Qualtrics start/end state.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A frozen UCL Qualtrics template already contains the ten SUS items, values, required setting, one-question-per-page structure and checked Brooke scoring; participants do not type from scratch. Required end state is identical and independently checked.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Protocol-ready; template/version/account and final URL must be frozen before preregistration.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Counterbalance order.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Within-participant AQ/QA allocation, balanced before recruitment and recorded before each session.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Protocol-ready.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Six to eight participants; descriptive/per-participant reporting; no significance tests.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Per-participant rows plus n, median, minimum and maximum; no inferential test or general population claim.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Protocol-ready.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Define success, assist and error.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Operational definitions, 20-minute limit, end-state checklist, self-correction and critical-error rules are frozen in protocol v1.1.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Protocol-ready.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Fixed script, recording and independent coding.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Fixed observer script; screen/shared-window and session audio recorded with consent; second coder independently codes at least two sessions before consensus.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Protocol-ready; ethics/storage/coder activation fields blocked.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Mild deception and debrief.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General advance disclosure, sealed private source/altered definition, immediate exact debrief and seven-day withdrawal route. Exact discrepancy is not in the public repository.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Protocol-ready; amendment approval required.</w:t>
            </w:r>
          </w:p>
        </w:tc>
      </w:tr>
    </w:tbl>
    <w:bookmarkEnd w:id="25"/>
    <w:bookmarkStart w:id="26" w:name="Xde82fd99f856364bd118507d710bd0671cab5e1"/>
    <w:p>
      <w:pPr>
        <w:pStyle w:val="Heading2"/>
        <w:keepNext/>
        <w:keepLines/>
      </w:pPr>
      <w:r>
        <w:rPr>
          <w:rFonts w:ascii="Calibri" w:hAnsi="Calibri"/>
        </w:rPr>
        <w:t xml:space="preserve">F. Latest feedback, section 5 — ethics and dissertation boundary</w:t>
      </w:r>
    </w:p>
    <w:tbl>
      <w:tblPr>
        <w:tblW w:type="dxa" w:w="1411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4342"/>
        <w:gridCol w:w="4776"/>
        <w:gridCol w:w="4994"/>
      </w:tblGrid>
      <w:tr>
        <w:trPr>
          <w:tblHeader w:val="true"/>
          <w:tblHeader w:val="true"/>
          <w:cantSplit/>
        </w:trPr>
        <w:tc>
          <w:tcPr>
            <w:vAlign w:val="top"/>
            <w:tcW w:type="dxa" w:w="4342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Requirement</w:t>
            </w:r>
          </w:p>
        </w:tc>
        <w:tc>
          <w:tcPr>
            <w:vAlign w:val="top"/>
            <w:tcW w:type="dxa" w:w="4776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Resolution</w:t>
            </w:r>
          </w:p>
        </w:tc>
        <w:tc>
          <w:tcPr>
            <w:vAlign w:val="top"/>
            <w:tcW w:type="dxa" w:w="499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Current status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Dissertation must stand without sessions.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Technical evaluation T1–T6 plus manual technical audit form the core; optional observed sessions cannot delay the draft.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Candidate technical CI complete; manual audit and overlap-dependent contrast determinations still NT.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Submit amendment by 11 August; if not approved by 18 August, omit sessions from 21 August draft.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Private template-based amendment pack and activation checklist prepared outside the public repository.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Draft pack ready; exact approval identity, route, storage, coder, retention alignment and signatures are blocked.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Record screens and disclose possible identifying capture, storage, retention and destruction.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PIS, consent, risk assessment and amendment narrative describe shared-window/session-audio recording, incidental identifiers, 24-hour RDSS transfer, deletion of working copies and proposed raw-recording destruction date.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Drafted; PI must confirm exact RDSS path and alignment with existing approval before submission.</w:t>
            </w:r>
          </w:p>
        </w:tc>
      </w:tr>
    </w:tbl>
    <w:p>
      <w:pPr>
        <w:pStyle w:val="BodyText"/>
      </w:pPr>
      <w:r>
        <w:rPr>
          <w:rFonts w:ascii="Calibri" w:hAnsi="Calibri"/>
        </w:rPr>
        <w:t xml:space="preserve">The uploaded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Project ID 1165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and Tianzhe Dong project title belong to a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different study and are explicitly excluded. The AQP approval ID and exact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approved title were not present in the supplied files; they must be copied from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the original AQP approval record or provided by the applicant/PI.</w:t>
      </w:r>
    </w:p>
    <w:bookmarkEnd w:id="26"/>
    <w:bookmarkStart w:id="27" w:name="Xdd8442abbb3056246208e702e0787967df1a980"/>
    <w:p>
      <w:pPr>
        <w:pStyle w:val="Heading2"/>
        <w:keepNext/>
        <w:keepLines/>
      </w:pPr>
      <w:r>
        <w:rPr>
          <w:rFonts w:ascii="Calibri" w:hAnsi="Calibri"/>
        </w:rPr>
        <w:t xml:space="preserve">G. Latest feedback, section 6 — repeated endpoint label</w:t>
      </w:r>
    </w:p>
    <w:tbl>
      <w:tblPr>
        <w:tblW w:type="dxa" w:w="1411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2605"/>
        <w:gridCol w:w="3908"/>
        <w:gridCol w:w="3908"/>
        <w:gridCol w:w="3691"/>
      </w:tblGrid>
      <w:tr>
        <w:trPr>
          <w:tblHeader w:val="true"/>
          <w:tblHeader w:val="true"/>
          <w:cantSplit/>
        </w:trPr>
        <w:tc>
          <w:tcPr>
            <w:vAlign w:val="top"/>
            <w:tcW w:type="dxa" w:w="2605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Requirement</w:t>
            </w:r>
          </w:p>
        </w:tc>
        <w:tc>
          <w:tcPr>
            <w:vAlign w:val="top"/>
            <w:tcW w:type="dxa" w:w="390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Implementation/test</w:t>
            </w:r>
          </w:p>
        </w:tc>
        <w:tc>
          <w:tcPr>
            <w:vAlign w:val="top"/>
            <w:tcW w:type="dxa" w:w="390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Current status</w:t>
            </w:r>
          </w:p>
        </w:tc>
        <w:tc>
          <w:tcPr>
            <w:vAlign w:val="top"/>
            <w:tcW w:type="dxa" w:w="3691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Final gate</w:t>
            </w:r>
          </w:p>
        </w:tc>
      </w:tr>
      <w:tr>
        <w:trPr>
          <w:cantSplit/>
        </w:trPr>
        <w:tc>
          <w:tcPr>
            <w:tcW w:type="dxa" w:w="260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Keep the legend as the announced endpoint source; keep anchor row aria-hidden; suppress only an option label identical to its endpoint; retain distinct middle German labels.</w:t>
            </w:r>
          </w:p>
        </w:tc>
        <w:tc>
          <w:tcPr>
            <w:tcW w:type="dxa" w:w="39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Style w:val="VerbatimChar"/>
                <w:rFonts w:ascii="Calibri" w:hAnsi="Calibri"/>
                <w:sz w:val="15"/>
              </w:rPr>
              <w:t xml:space="preserve">visibleResponseLabel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in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accessible-nasa-tlx.ts</w:t>
            </w:r>
            <w:r>
              <w:rPr>
                <w:rFonts w:ascii="Calibri" w:hAnsi="Calibri"/>
                <w:sz w:val="15"/>
              </w:rPr>
              <w:t xml:space="preserve">; component regression and S27 real-browser case.</w:t>
            </w:r>
          </w:p>
        </w:tc>
        <w:tc>
          <w:tcPr>
            <w:tcW w:type="dxa" w:w="39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CI-pass on candidate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816e1c4</w:t>
            </w:r>
            <w:r>
              <w:rPr>
                <w:rFonts w:ascii="Calibri" w:hAnsi="Calibri"/>
                <w:sz w:val="15"/>
              </w:rPr>
              <w:t xml:space="preserve">.</w:t>
            </w:r>
          </w:p>
        </w:tc>
        <w:tc>
          <w:tcPr>
            <w:tcW w:type="dxa" w:w="369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Deployed visual/accessibility-tree inspection.</w:t>
            </w:r>
          </w:p>
        </w:tc>
      </w:tr>
    </w:tbl>
    <w:bookmarkEnd w:id="27"/>
    <w:bookmarkStart w:id="29" w:name="reproduction-commands"/>
    <w:p>
      <w:pPr>
        <w:pStyle w:val="Heading2"/>
        <w:keepNext/>
        <w:keepLines/>
      </w:pPr>
      <w:r>
        <w:rPr>
          <w:rFonts w:ascii="Calibri" w:hAnsi="Calibri"/>
        </w:rPr>
        <w:t xml:space="preserve">Reproduction commands</w:t>
      </w:r>
    </w:p>
    <w:p>
      <w:pPr>
        <w:pStyle w:val="FirstParagraph"/>
      </w:pPr>
      <w:r>
        <w:rPr>
          <w:rFonts w:ascii="Calibri" w:hAnsi="Calibri"/>
        </w:rPr>
        <w:t xml:space="preserve">From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source/</w:t>
      </w:r>
      <w:r>
        <w:rPr>
          <w:rFonts w:ascii="Calibri" w:hAnsi="Calibri"/>
        </w:rPr>
        <w:t xml:space="preserve">:</w:t>
      </w:r>
    </w:p>
    <w:p>
      <w:pPr>
        <w:pStyle w:val="SourceCode"/>
      </w:pPr>
      <w:r>
        <w:rPr>
          <w:rStyle w:val="VerbatimChar"/>
          <w:rFonts w:ascii="Calibri" w:hAnsi="Calibri"/>
        </w:rPr>
        <w:t xml:space="preserve">npm ci</w:t>
      </w:r>
      <w:r>
        <w:rPr>
          <w:rFonts w:ascii="Calibri" w:hAnsi="Calibri"/>
        </w:rPr>
        <w:br/>
      </w:r>
      <w:r>
        <w:rPr>
          <w:rStyle w:val="VerbatimChar"/>
          <w:rFonts w:ascii="Calibri" w:hAnsi="Calibri"/>
        </w:rPr>
        <w:t xml:space="preserve">npm test -- --run</w:t>
      </w:r>
      <w:r>
        <w:rPr>
          <w:rFonts w:ascii="Calibri" w:hAnsi="Calibri"/>
        </w:rPr>
        <w:br/>
      </w:r>
      <w:r>
        <w:rPr>
          <w:rStyle w:val="VerbatimChar"/>
          <w:rFonts w:ascii="Calibri" w:hAnsi="Calibri"/>
        </w:rPr>
        <w:t xml:space="preserve">npm run report:technical</w:t>
      </w:r>
      <w:r>
        <w:rPr>
          <w:rFonts w:ascii="Calibri" w:hAnsi="Calibri"/>
        </w:rPr>
        <w:br/>
      </w:r>
      <w:r>
        <w:rPr>
          <w:rStyle w:val="VerbatimChar"/>
          <w:rFonts w:ascii="Calibri" w:hAnsi="Calibri"/>
        </w:rPr>
        <w:t xml:space="preserve">npm run build</w:t>
      </w:r>
      <w:r>
        <w:rPr>
          <w:rFonts w:ascii="Calibri" w:hAnsi="Calibri"/>
        </w:rPr>
        <w:br/>
      </w:r>
      <w:r>
        <w:rPr>
          <w:rStyle w:val="VerbatimChar"/>
          <w:rFonts w:ascii="Calibri" w:hAnsi="Calibri"/>
        </w:rPr>
        <w:t xml:space="preserve">npm run test:browser</w:t>
      </w:r>
      <w:r>
        <w:rPr>
          <w:rFonts w:ascii="Calibri" w:hAnsi="Calibri"/>
        </w:rPr>
        <w:br/>
      </w:r>
      <w:r>
        <w:rPr>
          <w:rStyle w:val="VerbatimChar"/>
          <w:rFonts w:ascii="Calibri" w:hAnsi="Calibri"/>
        </w:rPr>
        <w:t xml:space="preserve">npm run test:browser-support</w:t>
      </w:r>
      <w:r>
        <w:rPr>
          <w:rFonts w:ascii="Calibri" w:hAnsi="Calibri"/>
        </w:rPr>
        <w:br/>
      </w:r>
      <w:r>
        <w:rPr>
          <w:rStyle w:val="VerbatimChar"/>
          <w:rFonts w:ascii="Calibri" w:hAnsi="Calibri"/>
        </w:rPr>
        <w:t xml:space="preserve">npm run report:browser</w:t>
      </w:r>
      <w:r>
        <w:rPr>
          <w:rFonts w:ascii="Calibri" w:hAnsi="Calibri"/>
        </w:rPr>
        <w:br/>
      </w:r>
      <w:r>
        <w:rPr>
          <w:rStyle w:val="VerbatimChar"/>
          <w:rFonts w:ascii="Calibri" w:hAnsi="Calibri"/>
        </w:rPr>
        <w:t xml:space="preserve">npm run report:browser-support</w:t>
      </w:r>
      <w:r>
        <w:rPr>
          <w:rFonts w:ascii="Calibri" w:hAnsi="Calibri"/>
        </w:rPr>
        <w:br/>
      </w:r>
      <w:r>
        <w:rPr>
          <w:rStyle w:val="VerbatimChar"/>
          <w:rFonts w:ascii="Calibri" w:hAnsi="Calibri"/>
        </w:rPr>
        <w:t xml:space="preserve">npm run build:release</w:t>
      </w:r>
    </w:p>
    <w:p>
      <w:pPr>
        <w:pStyle w:val="FirstParagraph"/>
      </w:pPr>
      <w:r>
        <w:rPr>
          <w:rFonts w:ascii="Calibri" w:hAnsi="Calibri"/>
        </w:rPr>
        <w:t xml:space="preserve">Candidate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816e1c4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result in CI run</w:t>
      </w:r>
      <w:r>
        <w:rPr>
          <w:rFonts w:ascii="Calibri" w:hAnsi="Calibri"/>
        </w:rPr>
        <w:t xml:space="preserve"> </w:t>
      </w:r>
      <w:hyperlink r:id="rId28">
        <w:r>
          <w:rPr>
            <w:rStyle w:val="Hyperlink"/>
          </w:rPr>
          <w:t xml:space="preserve">31377511113</w:t>
        </w:r>
      </w:hyperlink>
      <w:r>
        <w:rPr>
          <w:rFonts w:ascii="Calibri" w:hAnsi="Calibri"/>
        </w:rPr>
        <w:t xml:space="preserve">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20/20 files and 199/199 tests passed; 8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fidelity cases, 31 items and 234 comparisons with 0 mismatch; 12 adversarial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inputs with 0 silent alteration; 8/8 exports and 31/31 responses reconstructed;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5 data-only compatible imports, 96/96 shared contract executions and 16/16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allowlist checks. The rendered artefact contains 135/135 state/profile rows,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0 violations, 13 incomplete contrast results involving 20 node occurrences, 0 overflow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failures, 0 critical target-size failures and no missing row.</w:t>
      </w:r>
    </w:p>
    <w:bookmarkEnd w:id="29"/>
    <w:bookmarkStart w:id="30" w:name="release-complete-checklist"/>
    <w:p>
      <w:pPr>
        <w:pStyle w:val="Heading2"/>
        <w:keepNext/>
        <w:keepLines/>
      </w:pPr>
      <w:r>
        <w:rPr>
          <w:rFonts w:ascii="Calibri" w:hAnsi="Calibri"/>
        </w:rPr>
        <w:t xml:space="preserve">Release-complete checklist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☒ Push candidate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816e1c4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to Draft PR #68.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☒ Obtain current-candidate CI with 135/135 rendered state/profile rows.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☒ Retain quantified technical, rendered accessibility and cross-browser artefacts tied to the commit SHA (run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31377511113</w:t>
      </w:r>
      <w:r>
        <w:rPr>
          <w:rFonts w:ascii="Calibri" w:hAnsi="Calibri"/>
        </w:rPr>
        <w:t xml:space="preserve">, artifact IDs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9058573437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and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9058513218</w:t>
      </w:r>
      <w:r>
        <w:rPr>
          <w:rFonts w:ascii="Calibri" w:hAnsi="Calibri"/>
        </w:rPr>
        <w:t xml:space="preserve">).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☐ Inspect and record all 20 reported overlap-dependent axe contrast occurrences; do not count them as 20 unique defects or as automatic passes.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☐ Obtain review/merge authority and deploy that verified commit to Pages.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☐ Re-test F1–F4 and the German endpoint case on the deployment. F1 includes changing item 2 and cancelling before a separate Save run; verify answer, route, score, recovery record, focus and visible label command.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☐ Execute A01–A33 on R1–R4 and retain exact observations.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☐ Record failures honestly, fix them and re-run; do not convert NT/NA into pass.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☐ Update matrix statuses only from the resulting evidence.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☐ Send the deployed URL, immutable SHA, CI/artifact links, matrix v6.3 and completed audit to the supervisor.</w:t>
      </w:r>
    </w:p>
    <w:bookmarkEnd w:id="30"/>
    <w:bookmarkEnd w:id="31"/>
    <w:sectPr>
      <w:headerReference w:type="default" r:id="rId9"/>
      <w:footerReference w:type="default" r:id="rId10"/>
      <w:headerReference w:type="even" r:id="rId11"/>
      <w:footerReference w:type="even" r:id="rId12"/>
      <w:pgSz w:orient="landscape" w:w="15840" w:h="12240"/>
      <w:pgMar w:top="1008" w:bottom="1008" w:left="864" w:right="864" w:header="708" w:footer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120" w:line="264" w:lineRule="auto"/>
    </w:pPr>
    <w:rPr>
      <w:rFonts w:ascii="Calibri" w:hAnsi="Calibri"/>
      <w:b w:val="0"/>
      <w:color w:val="000000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320" w:line="240" w:lineRule="auto"/>
      <w:outlineLvl w:val="0"/>
    </w:pPr>
    <w:rPr>
      <w:rFonts w:asciiTheme="majorHAnsi" w:cstheme="majorBidi" w:eastAsiaTheme="majorEastAsia" w:hAnsiTheme="majorHAnsi" w:ascii="Calibri" w:hAnsi="Calibri"/>
      <w:b/>
      <w:bCs/>
      <w:color w:val="2E74B5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 w:line="240" w:lineRule="auto"/>
      <w:outlineLvl w:val="1"/>
    </w:pPr>
    <w:rPr>
      <w:rFonts w:asciiTheme="majorHAnsi" w:cstheme="majorBidi" w:eastAsiaTheme="majorEastAsia" w:hAnsiTheme="majorHAnsi" w:ascii="Calibri" w:hAnsi="Calibri"/>
      <w:b/>
      <w:bCs/>
      <w:color w:val="2E74B5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160" w:line="240" w:lineRule="auto"/>
      <w:outlineLvl w:val="2"/>
    </w:pPr>
    <w:rPr>
      <w:rFonts w:asciiTheme="majorHAnsi" w:cstheme="majorBidi" w:eastAsiaTheme="majorEastAsia" w:hAnsiTheme="majorHAnsi" w:ascii="Calibri" w:hAnsi="Calibri"/>
      <w:b/>
      <w:bCs/>
      <w:color w:val="1F4D78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8" Type="http://schemas.openxmlformats.org/officeDocument/2006/relationships/hyperlink" Target="https://github.com/SaSoup-YR/accessible-questionnaire-platform/actions/runs/31377511113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https://github.com/SaSoup-YR/accessible-questionnaire-platform/actions/runs/31377511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Supervisor feedback closure matrix v2</dc:title>
  <dc:creator>Yurui Wang</dc:creator>
  <cp:keywords>AQP, evaluation, accessibility, questionnaire</cp:keywords>
  <dcterms:created xsi:type="dcterms:W3CDTF">2026-08-10T14:05:55Z</dcterms:created>
  <dcterms:modified xsi:type="dcterms:W3CDTF">2026-08-10T14:05:55Z</dcterms:modified>
  <dc:subject>Version 2.4 | 10 August 2026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