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qp-evaluation-matrix-v6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evaluation matrix v6</w:t>
      </w:r>
    </w:p>
    <w:p>
      <w:pPr>
        <w:pStyle w:val="FirstParagraph"/>
      </w:pPr>
      <w:r>
        <w:rPr>
          <w:rFonts w:ascii="Calibri" w:hAnsi="Calibri"/>
        </w:rPr>
        <w:t xml:space="preserve">Version: 6.4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Revised: 2026-08-10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Status rule: only evidence tied to the evaluated release is marked Evidenced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implements bounded definition-driven reuse: supported questionnaire content is loaded through a shared runner and workflow, while response structures, scorers and optional supports remain explicit executable boundaries. It is not questionnaire-independent.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Compatible data-only admission: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compatible imported definitions completing the shared production path, with instrument-specific production extension files required reported separately.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Shared contract reuse: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case × contract executions ÷ all required case × contract executions, using one unchanged 12-contract function.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Allowlist correctness: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declaration, rendered control and configuration gate agreeing ÷ checked definition × support combinations.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At least two compatible definitions complete with 0 instrument-specific production extension files; shared contract reuse is 100% with 0 instrument-specific contract copies; allowlist agreement is 100%. A new scorer or response structure is reported as executable boundary extension, not a data-only platform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Quantified production-path reuse/allowlist test and machine-readable technical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816e1c4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Five imported definitions completed as data with 0 instrument-specific production files, 96/96 shared case-contract executions used one function with 0 copies, and 16/16 allowlist combinations matched in CI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31377511113</w:t>
              </w:r>
            </w:hyperlink>
            <w:r>
              <w:rPr>
                <w:rFonts w:ascii="Calibri" w:hAnsi="Calibri"/>
                <w:sz w:val="16"/>
              </w:rPr>
              <w:t xml:space="preserve">. The broader “questionnaire-independent” claim is withdrawn.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For the named release and configurations only, participant screens satisfy the pre-specified automated browser checks and manual technical assistive-technology checks. No benefit or usability claim for disabled users is made.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Rendered browser: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state/profile scans ÷ 135 required scans (27 structurally distinct states × 5 profiles), with axe violations, incomplete checks, overflow and target size reported. Fixture-induced external-service/hardware states are identified row by row.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Manual AT: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applicable route/check cells ÷ all applicable cells on NVDA/Firefox, NVDA/Chrome, VoiceOver/Safari and one OS voice-control route; report WCAG SC outcomes and exact dynamic announcements.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All 135 browser scans present; 0 automatically detected violations; 0 overflow failures; 0 critical target-size failures; incomplete axe checks listed. Manual audit has 0 NT cells, every applicable cell P/F, and no S3 failure in a technically supported route. A markup mechanism that is not usefully announced is F.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Frozen runner-state inventory; Playwright/axe JSON+HTML and trace artefact; cross-browser matrix; versioned manual AT audit.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 overall.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Draft PR candidate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816e1c4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135/135 required scans with 0 automatically detected violations, 0 overflow failures, 0 critical target-size failures and 0 missing state/profile rows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31377511113</w:t>
              </w:r>
            </w:hyperlink>
            <w:r>
              <w:rPr>
                <w:rFonts w:ascii="Calibri" w:hAnsi="Calibri"/>
                <w:sz w:val="16"/>
              </w:rPr>
              <w:t xml:space="preserve">. Axe returned 13 incomplete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color-contrast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scan results involving 20 gaze-state node occurrences because overlapping backgrounds could not be determined; the same target may occur in more than one state/profile row. Every target and failure summary is retained for manual inspection and none is counted as a pass. All manual route cells remain NT. No general accessibility or disabled-user benefit claim is available.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Within the frozen support boundary, AQP preserves item content/order, response labels/stored values, required status, scoring identifier and reported score from source to rendered response and result.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Fidelity mismatch rate: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unequal expected/observed fields ÷ all independent-oracle comparisons, reported for each of the three distributable built-ins in this candidate and every QSF/LSS/LSG/LSQ fixture.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0 mismatches in every case. One missing, reordered, relabelled, revalued or differently scored field fails the release. A removed instrument is a disclosed scope change, not counted as a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Hand-maintained source-of-truth JSON; programmatic production-path round trip; machine-readable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816e1c4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Eight cases, 31 items and 234 field comparisons produced 0 mismatches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31377511113</w:t>
              </w:r>
            </w:hyperlink>
            <w:r>
              <w:rPr>
                <w:rFonts w:ascii="Calibri" w:hAnsi="Calibri"/>
                <w:sz w:val="16"/>
              </w:rPr>
              <w:t xml:space="preserve">. This does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not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satisfy the supervisor's original “all four built-ins” denominator: UEQ-S was removed pending public-repository/deployment permission. The three-instrument release boundary requires explicit supervisor acceptance.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fails closed for the pre-specified unsupported or adversarial inputs and does not silently alter them into participant-ready questionnaires.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Negative outcome count: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number in each of refused-specific, refused-generic, accepted-documented-loss and silently-altered across 12 frozen adversarial inputs.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Silently altered = 0/12. Every accepted loss must be explicit and acknowledged; every refusal must produce no participant link/partial definition. Specific and generic refusals are reported separately.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Automated negative battery and row-level results table.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816e1c4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31377511113</w:t>
              </w:r>
            </w:hyperlink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recorded 10 specific refusals, 2 generic parse refusals, 0 accepted documented losses and 0 silently altered.</w:t>
            </w:r>
          </w:p>
        </w:tc>
      </w:tr>
    </w:tbl>
    <w:bookmarkStart w:id="21" w:name="active-claims-continue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Active claims (continued)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The revised researcher setup can be evaluated formatively against a precisely matched Qualtrics setup condition for task success, time, assists, errors and perceived ease. This is an optional additional study, not required for the technical dissertation evaluation.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Per setup condition: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checkpoint-valid completions ÷ assigned attempts; active setup time ending at declaration/20-minute limit; assists; predefined errors and critical status; immediate post-condition SEQ and SUS. After both post-condition sheets, the observer runs an untimed fixed-vector link/identity/score/export verification for each preserved setup.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Separate AQP source-review task: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discrepancy detection, time, assists and false positives. Report every participant and n/median/minimum/maximum. A second coder independently codes at least two recordings using one-to-one same-category event matching within 10 seconds.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 task succeeds only when every frozen platform-specific end-state check passes after the observer's synthetic verification. An unrecovered error is critical when it fails a checkpoint or leaves an incorrect identity, scoring rule, response value or unusable link. Eight AQ/QA slots are generated and concealed before recruitment; later allocation is not adapted to outcomes. Report descriptive results only; no significance test or general usability claim at n=6–8.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Preregistered observed-study protocol and end-state map; recordings with consent; observer/coder logs; fixed Post-Condition Measures Sheet with raw SEQ/SUS responses.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Protocol v1.2 is method-ready, but no sessions may run without written amendment approval and completed activation gates. If approval/timing does not permit, retain it as planned work and keep C5 Not evidenced.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C7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Each result record is bound to the questionnaire definition used for its configuration, and the definition, final response set and score can be reconstructed and checked from the export alone.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Hash verification: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matching canonical SHA-256 in configuration, recomputed loaded definition and submitted result ÷ tested cases; Version 4 configurations and result records with a missing or mismatched fingerprint rejected ÷ tamper cases.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Reconstruction: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fully reconstructed exports with 0 definition/response/score mismatches ÷ all fidelity cases.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Hash agreement 100%; every missing or mismatched Version 4 configuration/result fingerprint is rejected and cannot show or restore success. Reconstruction 8/8 with 0 mismatches; every export contains the complete definition, scorer and responses needed without repository lookup. This unsigned fingerprint establishes internal consistency, not authenticated authorship.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Configuration/result schema tests; missing-hash and stale-hash tampered-link/result tests; submission-block test; export reconstruction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816e1c4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Missing/mismatched Version 4 hashes were rejected in CI, including link-load, submission and stored-result restoration routes; 8/8 exports and 31/31 responses reconstructed with 0 mismatch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31377511113</w:t>
              </w:r>
            </w:hyperlink>
            <w:r>
              <w:rPr>
                <w:rFonts w:ascii="Calibri" w:hAnsi="Calibri"/>
                <w:sz w:val="16"/>
              </w:rPr>
              <w:t xml:space="preserve">. Final main and deployed SHA must reproduce the result.</w:t>
            </w:r>
          </w:p>
        </w:tc>
      </w:tr>
    </w:tbl>
    <w:bookmarkEnd w:id="21"/>
    <w:bookmarkStart w:id="22" w:name="removed-row"/>
    <w:p>
      <w:pPr>
        <w:pStyle w:val="Heading2"/>
        <w:keepNext/>
        <w:keepLines/>
      </w:pPr>
      <w:r>
        <w:rPr>
          <w:rFonts w:ascii="Calibri" w:hAnsi="Calibri"/>
        </w:rPr>
        <w:t xml:space="preserve">Removed row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C6 (AQP versus matched Qualtrics participant accessibility comparison) is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removed.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withdrawn design confounded presentation structure and did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provide interpretable mechanism-level or score-equivalence evidence.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retained as an unevidenced active claim.</w:t>
      </w:r>
    </w:p>
    <w:bookmarkEnd w:id="22"/>
    <w:bookmarkEnd w:id="23"/>
    <w:sectPr>
      <w:headerReference w:type="default" r:id="rId9"/>
      <w:footerReference w:type="default" r:id="rId10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aSoup-YR/accessible-questionnaire-platform/actions/runs/31377511113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aSoup-YR/accessible-questionnaire-platform/actions/runs/31377511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evaluation matrix v6</dc:title>
  <dc:creator>Yurui Wang</dc:creator>
  <cp:keywords>AQP, evaluation, accessibility, questionnaire</cp:keywords>
  <dcterms:created xsi:type="dcterms:W3CDTF">2026-08-10T16:09:34Z</dcterms:created>
  <dcterms:modified xsi:type="dcterms:W3CDTF">2026-08-10T16:09:34Z</dcterms:modified>
  <dc:subject>Version 6.4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