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pervisor-feedback-closure-matrix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Supervisor feedback closure matrix v2</w:t>
      </w:r>
    </w:p>
    <w:p>
      <w:pPr>
        <w:pStyle w:val="FirstParagraph"/>
      </w:pPr>
      <w:r>
        <w:rPr>
          <w:rFonts w:ascii="Calibri" w:hAnsi="Calibri"/>
        </w:rPr>
        <w:t xml:space="preserve">Version: 2.5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Frozen: 2026-08-10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Candidate branch: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feat/researcher-wizard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Release rule: implementation is not marked release-complete until the named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passes in CI for an immutable commit, its report is retained, the same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commit is deployed, and the deployment is re-tested.</w:t>
      </w:r>
    </w:p>
    <w:bookmarkStart w:id="20" w:name="status-codes"/>
    <w:p>
      <w:pPr>
        <w:pStyle w:val="Heading2"/>
        <w:keepNext/>
        <w:keepLines/>
      </w:pPr>
      <w:r>
        <w:rPr>
          <w:rFonts w:ascii="Calibri" w:hAnsi="Calibri"/>
        </w:rPr>
        <w:t xml:space="preserve">Status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Local-pass: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code and a falsifiable local test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CI-pending: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real-browser or release result needs the Draft PR CI run.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named Draft PR commit and retained artefact satisfy the stated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candidate gate; final main/deployment evidence is still separate.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Manual-NT: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required observation has not been made and is not counted.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Protocol-ready: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complete method exists but no participant data exist.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Blocked: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named external decision, permission or approval is missing.</w:t>
      </w:r>
    </w:p>
    <w:bookmarkEnd w:id="20"/>
    <w:bookmarkStart w:id="21" w:name="a-first-five-code-corrections"/>
    <w:p>
      <w:pPr>
        <w:pStyle w:val="Heading2"/>
        <w:keepNext/>
        <w:keepLines/>
      </w:pPr>
      <w:r>
        <w:rPr>
          <w:rFonts w:ascii="Calibri" w:hAnsi="Calibri"/>
        </w:rPr>
        <w:t xml:space="preserve">A. First five code corrections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Supervisor requirement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Implemented evidence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Falsifiable evidence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Review shows the item statement, selected answer meaning and one direct Change control per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source/src/accessible-nasa-tlx.ts</w:t>
            </w:r>
            <w:r>
              <w:rPr>
                <w:rFonts w:ascii="Calibri" w:hAnsi="Calibri"/>
                <w:sz w:val="15"/>
              </w:rPr>
              <w:t xml:space="preserve">: review records; a declared label for the selected value or, when no such label exists, the declared scale endpoints without invented wording; unique visible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Change item N answer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labels; gaze targets; direct edit and focus return; transactional pending value/input route.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use Brooke's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5, 1, 4, 2, 3, 5, 1, 4, 2, 3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vector and directly assert Mark's Item 3 = 4 case. They also test direct Save and real Cancel-after-selection. Before Save, recovery storage remains on Review with the original value, input route and score; Cancel retains them; Save alone commits. A failure includes a missing prompt, missing declared selected label/endpoint context, invented label, non-unique or non-targetable Change control, opening the wrong item, false cancellation, premature storage, changing another answer or failing to return focus.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A16/A17/A21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A16/A17/A21; then merge only with authority, deploy and smoke-test Item 3 = 4 plus both Save and Cancel on the public build.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code is prefilled from the generated link and remains editable as fallback.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source/src/study.ts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study-conductor.ts</w:t>
            </w:r>
            <w:r>
              <w:rPr>
                <w:rFonts w:ascii="Calibri" w:hAnsi="Calibri"/>
                <w:sz w:val="15"/>
              </w:rPr>
              <w:t xml:space="preserve">: per-link pseudonymous code, validation, hash-navigation reload and committed-session precedence; the Skip link preserves the application hash.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cover distinct generated links, same-tab P001 → P002 replacement without a test-only reload, missing/manual/invalid codes, committed correction recovery, Skip focus/hash preservation and final-record identity.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A02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A02; after an authorised deployment, open two distinct generated links, confirm distinct editable codes and no first-screen validation error, exercise Skip, reload and confirm the same identity/session.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introduction is minimal; full audio guidance appears once, not before every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Intro/support disclosure and compact in-question controls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the full audio-guidance panel is confined to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Accessibility and audio options (optional)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 the introduction.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regression requires the optional disclosure to start collapsed, one intro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, fewer than 160 visible intro words, and no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.process-overview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.factor-reference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.study-details</w:t>
            </w:r>
            <w:r>
              <w:rPr>
                <w:rFonts w:ascii="Calibri" w:hAnsi="Calibri"/>
                <w:sz w:val="15"/>
              </w:rPr>
              <w:t xml:space="preserve">;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be absent after Start and on Review. Component coverage also checks the NASA-TLX rating, pairwise and review route.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This proves bounded removal of AQP-owned boilerplate and repetition, not reduced cognitive burden or short researcher-supplied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introPrompt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content. Manual A01/A03/A04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A01/A03/A04; after an authorised deployment, inspect intro/item/pairwise/review. Treat the word limit as a regression threshold, not evidence of cognitive accessibility.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Canonical definition hash is in configuration and result and is verified at load and submission.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Version 4 configuration/result schemas, canonical SHA-256, immutable result definition snapshot, CSV/Qualtrics fields and fail-closed checks. The Qualtrics parent requires a valid fingerprint plus matching snapshot metadata and writes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only after every staged field succeeds.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Missing/stale hash link, submission and stored-result tamper tests; export reconstruction; missing/malformed runtime fingerprint and missing snapshot rejection; injected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AQP_RAW_05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staging failure with no acceptance marker.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: 208/208 deterministic tests, 9/9 rendered-browser tests, 3/3 browser-support routes and release synchronisation passed.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Re-test tampered link/submission and one fresh synthetic Qualtrics row after an authorised deployment. Confirm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, a valid definition hash and reconstructable raw record. The fingerprint proves internal consistency and identifiability, not authenticated authorship or resistance to replacement of both unsigned definition and hash.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axe scans run in CI and publish a report.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Playwright specification,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verify.yml</w:t>
            </w:r>
            <w:r>
              <w:rPr>
                <w:rFonts w:ascii="Calibri" w:hAnsi="Calibri"/>
                <w:sz w:val="15"/>
              </w:rPr>
              <w:t xml:space="preserve">, JSON/HTML publisher and uploaded Playwright traces/results.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S01–S27 inventory × five profiles = 135 required rows; missing rows, violations, incomplete checks, overflow and target-size failures are reported.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: 135/135 rows, 0 violations, 0 overflow failures, 0 critical target-size failures and 0 missing combinations. Thirteen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gaze-state node occurrences are listed with targets/failure summaries and remain inspection items; a target may recur across state/profile rows.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Manually determine and record every overlap-dependent contrast occurrence; repeat the automated run on final main/release SHA.</w:t>
            </w:r>
          </w:p>
        </w:tc>
      </w:tr>
    </w:tbl>
    <w:bookmarkEnd w:id="21"/>
    <w:bookmarkStart w:id="22" w:name="Xb1d9d79430ef10e0abb050ce7d647200acfc939"/>
    <w:p>
      <w:pPr>
        <w:pStyle w:val="Heading2"/>
        <w:keepNext/>
        <w:keepLines/>
      </w:pPr>
      <w:r>
        <w:rPr>
          <w:rFonts w:ascii="Calibri" w:hAnsi="Calibri"/>
        </w:rPr>
        <w:t xml:space="preserve">B. Latest feedback, section 1 — manual technical accessibility audit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artefact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Completion rule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NVDA/Firefox, NVDA/Chrome, VoiceOver/Safari and one OS voice-control walkthrough.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docs/manual-audit/AQP-MANUAL-AT-AUDIT-v1.0.md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(protocol v1.3).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Manual-NT on all four routes.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exact OS/browser/AT versions and replace every applicable NT with P/F/NA plus evidence ID.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Cover every participant state, including pairwise, review, error, voice listening/pending and saved-progress offer.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S01–S27 maps to A01–A33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docs/PARTICIPANT-RUNNER-STATE-INVENTORY-v1.md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Run A01–A33 on the applicable routes; an untested state cannot be inferred from source or axe.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Report by WCAG criterion with exact announcements and treat unusable markup as fail.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WCAG route summary, exact-speech fields, P/F/NA/NT rules and S1–S3 issue log in the audit.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Transcribe actual speech, including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[no announcement]</w:t>
            </w:r>
            <w:r>
              <w:rPr>
                <w:rFonts w:ascii="Calibri" w:hAnsi="Calibri"/>
                <w:sz w:val="15"/>
              </w:rPr>
              <w:t xml:space="preserve">; zero NT before calling the audit complete.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a versioned audit and bound the claim.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Audit publication wording and matrix C2.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Document ready; C2 Not evidenced.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only after execution; state technical audit only and no disabled-user benefit evidence.</w:t>
            </w:r>
          </w:p>
        </w:tc>
      </w:tr>
    </w:tbl>
    <w:bookmarkEnd w:id="22"/>
    <w:bookmarkStart w:id="23" w:name="Xfa5c0594cceacd298a1a921dbf5fea80a7de467"/>
    <w:p>
      <w:pPr>
        <w:pStyle w:val="Heading2"/>
        <w:keepNext/>
        <w:keepLines/>
      </w:pPr>
      <w:r>
        <w:rPr>
          <w:rFonts w:ascii="Calibri" w:hAnsi="Calibri"/>
        </w:rPr>
        <w:t xml:space="preserve">C. Latest feedback, section 2 — quantified technical evaluation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22"/>
        <w:gridCol w:w="2822"/>
        <w:gridCol w:w="2822"/>
        <w:gridCol w:w="2822"/>
        <w:gridCol w:w="282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evaluation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Reproducible artefact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quantified result</w:t>
            </w:r>
          </w:p>
        </w:tc>
        <w:tc>
          <w:tcPr>
            <w:vAlign w:val="top"/>
            <w:tcW w:type="dxa" w:w="28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Status/gap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T1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Programmatic fidelity round trip against independent truth for built-ins and every QSF/LSS/LSG/LSQ fixture.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docs/evidence/fidelity-source-of-truth.json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source/tests/technical-evaluation.test.ts</w:t>
            </w:r>
            <w:r>
              <w:rPr>
                <w:rFonts w:ascii="Calibri" w:hAnsi="Calibri"/>
                <w:sz w:val="15"/>
              </w:rPr>
              <w:t xml:space="preserve">, generated JSON/HTML 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 cases, 31 items, 234 field comparisons,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Only three distributable built-ins are present; UEQ-S is excluded pending redistribution permission. This is a disclosed scope shortfall, not a fourth pass.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T2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Twelve-row adversarial battery and zero silently altered.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Same technical test/report.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12 inputs: 10 specific refusals, 2 generic XML refusals, 0 accepted losses, 0 silently altered.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T3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runner state at 1280, 768, 320 and 200% zoom, with build artefact.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state inventory, Playwright/axe spec, CI workflow and report publisher.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135/135 required state/profile rows; 0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node occurrences; 0 overflow failures; 0 critical target-size failures; and 0 missing rows.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Deterministic fixtures are labelled where external host/hardware callbacks are simulated. Incomplete contrast occurrences require recorded inspection and are not automatic passes.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T4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Cross-browser support matrix and explicit Firefox/Web Speech limitation.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source/tests/e2e-support/cross-browser-support.spec.ts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docs/CROSS-BROWSER-SUPPORT-MATRIX.md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Capability test passed the production runner smoke route in Chromium, Firefox and Playwright WebKit; SpeechRecognition present in Chromium and absent in Firefox/WebKit.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WebKit/Linux is not Safari/VoiceOver evidence and OS voice control remains not assessed.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T5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Reconstruct definition, response set and score from export alone.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reconstruction rows and self-contained result definition.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8/8 exports and 31/31 responses reconstructed,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T6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Quantify definition-driven reuse rather than assume it.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reuse/allowlist rows.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5 compatible imports admitted as data with 0 instrument-specific production files; 96/96 shared contract executions with 0 test copies; 16/16 allowlist combinations match.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A new scorer/response structure remains an executable boundary and is not a data-only pass.</w:t>
            </w:r>
          </w:p>
        </w:tc>
      </w:tr>
    </w:tbl>
    <w:bookmarkEnd w:id="23"/>
    <w:bookmarkStart w:id="24" w:name="d-latest-feedback-section-3--matrix-v6"/>
    <w:p>
      <w:pPr>
        <w:pStyle w:val="Heading2"/>
        <w:keepNext/>
        <w:keepLines/>
      </w:pPr>
      <w:r>
        <w:rPr>
          <w:rFonts w:ascii="Calibri" w:hAnsi="Calibri"/>
        </w:rPr>
        <w:t xml:space="preserve">D. Latest feedback, section 3 — matrix v6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Remove C6 rather than leave it unevidenced.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C6 is in a Removed row, not an active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C2 a decision rule for the new audit design.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C2 requires 135 browser rows plus complete manual P/F/NA observations and no S3 failure on a supported route.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evidence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C5 a decision rule for the optional observed researcher study.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C5 freezes success, time, assist/error, discrepancy, SEQ/SUS and second-coder evidence and prohibits significance tests.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Make C7's definition hash checkable.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C7 requires canonical hash agreement, rejection of missing/stale Version 4 hashes and export-only reconstruction. Qualtrics host acceptance additionally requires a schema-complete definition snapshot and a last-write acceptance marker.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; deployment and fresh synthetic Qualtrics-row verification remain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Fill every evidence status, including Not 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docs/AQP-EVALUATION-MATRIX-v6.md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v6.2 has a status for every active row.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for the candidate state; update only after new evidence.</w:t>
            </w:r>
          </w:p>
        </w:tc>
      </w:tr>
    </w:tbl>
    <w:bookmarkEnd w:id="24"/>
    <w:bookmarkStart w:id="25" w:name="Xf1191037a1d04ca3ee7fc482a87a5190dad0f4c"/>
    <w:p>
      <w:pPr>
        <w:pStyle w:val="Heading2"/>
        <w:keepNext/>
        <w:keepLines/>
      </w:pPr>
      <w:r>
        <w:rPr>
          <w:rFonts w:ascii="Calibri" w:hAnsi="Calibri"/>
        </w:rPr>
        <w:t xml:space="preserve">E. Latest feedback, section 4 — optional observed researcher protocol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Frozen 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Qualtrics start/end state.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frozen UCL Qualtrics template already contains the ten SUS items, values, required setting, one-question-per-page structure and checked Brooke scoring; participants do not type from scratch. Required end state is identical and independently checked.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template/version/account and final URL must be frozen before preregistration.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Counterbalance order.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Within-participant AQ/QA allocation, balanced before recruitment and recorded before each session.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Six to eight participants; descriptive/per-participant reporting; no significance tests.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Per-participant rows plus n, median, minimum and maximum; no inferential test or general population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success, assist and error.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Operational definitions, 20-minute limit, end-state checklist, self-correction and critical-error rules are frozen in protocol v1.1.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script, recording and independent coding.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observer script; screen/shared-window and session audio recorded with consent; second coder independently codes at least two sessions before consensus.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ethics/storage/coder activation fields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Mild deception and debrief.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General advance disclosure, sealed private source/altered definition, immediate exact debrief and seven-day withdrawal route. Exact discrepancy is not in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amendment approval required.</w:t>
            </w:r>
          </w:p>
        </w:tc>
      </w:tr>
    </w:tbl>
    <w:bookmarkEnd w:id="25"/>
    <w:bookmarkStart w:id="26" w:name="Xde82fd99f856364bd118507d710bd0671cab5e1"/>
    <w:p>
      <w:pPr>
        <w:pStyle w:val="Heading2"/>
        <w:keepNext/>
        <w:keepLines/>
      </w:pPr>
      <w:r>
        <w:rPr>
          <w:rFonts w:ascii="Calibri" w:hAnsi="Calibri"/>
        </w:rPr>
        <w:t xml:space="preserve">F. Latest feedback, section 5 — ethics and dissertation boundary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Dissertation must stand without sessions.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T1–T6 plus manual technical audit form the core; optional observed sessions cannot delay the draft.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Candidate technical CI complete; manual audit and overlap-dependent contrast determinations still NT.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amendment by 11 August; if not approved by 18 August, omit sessions from 21 August draft.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Private template-based amendment pack and activation checklist prepared outside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pack ready; exact approval identity, route, storage, coder, retention alignment and signatures are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screens and disclose possible identifying capture, storage, retention and destruction.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PIS, consent, risk assessment and amendment narrative describe shared-window/session-audio recording, incidental identifiers, 24-hour RDSS transfer, deletion of working copies and proposed raw-recording destruction date.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Drafted; PI must confirm exact RDSS path and alignment with existing approval before submission.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uploaded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Project ID 1165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Tianzhe Dong project title belong to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study and are explicitly excluded. The AQP approval ID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title were not present in the supplied files; they must be copied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original AQP approval record or provided by the applicant/PI.</w:t>
      </w:r>
    </w:p>
    <w:bookmarkEnd w:id="26"/>
    <w:bookmarkStart w:id="27" w:name="Xdd8442abbb3056246208e702e0787967df1a980"/>
    <w:p>
      <w:pPr>
        <w:pStyle w:val="Heading2"/>
        <w:keepNext/>
        <w:keepLines/>
      </w:pPr>
      <w:r>
        <w:rPr>
          <w:rFonts w:ascii="Calibri" w:hAnsi="Calibri"/>
        </w:rPr>
        <w:t xml:space="preserve">G. Latest feedback, section 6 — repeated endpoint label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Implementation/test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Keep the legend as the announced endpoint source; keep anchor row aria-hidden; suppress only an option label identical to its endpoint; retain distinct middle German labels.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visibleResponseLabel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component regression and S27 real-browser case.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Deployed visual/accessibility-tree inspection.</w:t>
            </w:r>
          </w:p>
        </w:tc>
      </w:tr>
    </w:tbl>
    <w:bookmarkEnd w:id="27"/>
    <w:bookmarkStart w:id="29" w:name="reproduction-commands"/>
    <w:p>
      <w:pPr>
        <w:pStyle w:val="Heading2"/>
        <w:keepNext/>
        <w:keepLines/>
      </w:pPr>
      <w:r>
        <w:rPr>
          <w:rFonts w:ascii="Calibri" w:hAnsi="Calibri"/>
        </w:rPr>
        <w:t xml:space="preserve">Reproduction commands</w:t>
      </w:r>
    </w:p>
    <w:p>
      <w:pPr>
        <w:pStyle w:val="FirstParagraph"/>
      </w:pPr>
      <w:r>
        <w:rPr>
          <w:rFonts w:ascii="Calibri" w:hAnsi="Calibri"/>
        </w:rPr>
        <w:t xml:space="preserve">From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source/</w:t>
      </w:r>
      <w:r>
        <w:rPr>
          <w:rFonts w:ascii="Calibri" w:hAnsi="Calibri"/>
        </w:rPr>
        <w:t xml:space="preserve">: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build:release</w:t>
      </w:r>
    </w:p>
    <w:p>
      <w:pPr>
        <w:pStyle w:val="FirstParagraph"/>
      </w:pPr>
      <w:r>
        <w:rPr>
          <w:rFonts w:ascii="Calibri" w:hAnsi="Calibri"/>
        </w:rPr>
        <w:t xml:space="preserve">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in CI run</w:t>
      </w:r>
      <w:r>
        <w:rPr>
          <w:rFonts w:ascii="Calibri" w:hAnsi="Calibri"/>
        </w:rPr>
        <w:t xml:space="preserve"> </w:t>
      </w:r>
      <w:hyperlink r:id="rId28">
        <w:r>
          <w:rPr>
            <w:rStyle w:val="Hyperlink"/>
          </w:rPr>
          <w:t xml:space="preserve">31399712181</w:t>
        </w:r>
      </w:hyperlink>
      <w:r>
        <w:rPr>
          <w:rFonts w:ascii="Calibri" w:hAnsi="Calibri"/>
        </w:rPr>
        <w:t xml:space="preserve">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20/20 files and 208/208 tests passed; 8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fidelity cases, 31 items and 234 comparisons with 0 mismatch; 12 adversarial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inputs with 0 silent alteration; 8/8 exports and 31/31 responses reconstructed;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5 data-only compatible imports, 96/96 shared contract executions and 16/16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allowlist checks. The rendered artefact contains 135/135 state/profile rows,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violations, 13 incomplete contrast results involving 20 node occurrences, 0 overflow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failures, 0 critical target-size failures and no missing row.</w:t>
      </w:r>
    </w:p>
    <w:bookmarkEnd w:id="29"/>
    <w:bookmarkStart w:id="30" w:name="release-complete-checklist"/>
    <w:p>
      <w:pPr>
        <w:pStyle w:val="Heading2"/>
        <w:keepNext/>
        <w:keepLines/>
      </w:pPr>
      <w:r>
        <w:rPr>
          <w:rFonts w:ascii="Calibri" w:hAnsi="Calibri"/>
        </w:rPr>
        <w:t xml:space="preserve">Release-complete checklist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Push 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Draft PR #68.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Obtain current-candidate CI with 135/135 rendered state/profile rows.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Retain quantified technical, rendered accessibility and cross-browser artefacts tied to the commit SHA (run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31399712181</w:t>
      </w:r>
      <w:r>
        <w:rPr>
          <w:rFonts w:ascii="Calibri" w:hAnsi="Calibri"/>
        </w:rPr>
        <w:t xml:space="preserve">; rendered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9067181758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52b4631a98d03857d10356632bf09a3c7ac3627a1f7dca822b9052f2a02a8adb</w:t>
      </w:r>
      <w:r>
        <w:rPr>
          <w:rFonts w:ascii="Calibri" w:hAnsi="Calibri"/>
        </w:rPr>
        <w:t xml:space="preserve">; quantified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9067100601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10bc877be89e9ed32c397e4d15a36aae324389a871386280661e3b74f4cd8686</w:t>
      </w:r>
      <w:r>
        <w:rPr>
          <w:rFonts w:ascii="Calibri" w:hAnsi="Calibri"/>
        </w:rPr>
        <w:t xml:space="preserve">).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Inspect and record all 20 reported overlap-dependent axe contrast occurrences; do not count them as 20 unique defects or as automatic passes.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Obtain review/merge authority and deploy that verified commit to Pages.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Re-test F1–F4 and the German endpoint case on the deployment. F1 includes changing item 2 and cancelling before a separate Save run; verify answer, route, score, recovery record, focus and visible label command.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Execute A01–A33 on R1–R4 and retain exact observations.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Record failures honestly, fix them and re-run; do not convert NT/NA into pass.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Update matrix statuses only from the resulting evidence.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Send the deployed URL, immutable SHA, CI/artifact links, matrix v6.3 and completed audit to the supervisor.</w:t>
      </w:r>
    </w:p>
    <w:bookmarkEnd w:id="30"/>
    <w:bookmarkEnd w:id="31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hyperlink" Target="https://github.com/SaSoup-YR/accessible-questionnaire-platform/actions/runs/31399712181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SaSoup-YR/accessible-questionnaire-platform/actions/runs/313997121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 feedback closure matrix v2</dc:title>
  <dc:creator>Yurui Wang</dc:creator>
  <cp:keywords>AQP, evaluation, accessibility, questionnaire</cp:keywords>
  <dcterms:created xsi:type="dcterms:W3CDTF">2026-08-10T14:49:22Z</dcterms:created>
  <dcterms:modified xsi:type="dcterms:W3CDTF">2026-08-10T14:49:22Z</dcterms:modified>
  <dc:subject>Version 2.5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