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drawing>
          <wp:inline xmlns:a="http://schemas.openxmlformats.org/drawingml/2006/main" xmlns:pic="http://schemas.openxmlformats.org/drawingml/2006/picture">
            <wp:extent cx="2015999" cy="22274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par_logo_cropp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5999" cy="2227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/>
        <w:jc w:val="center"/>
      </w:pPr>
      <w:r>
        <w:rPr>
          <w:rFonts w:ascii="Arial" w:hAnsi="Arial" w:eastAsia="Arial"/>
          <w:b/>
          <w:color w:val="5B3A24"/>
          <w:sz w:val="50"/>
        </w:rPr>
        <w:t>Guía de Implementación y Preparación del Piloto</w:t>
      </w:r>
    </w:p>
    <w:p>
      <w:pPr>
        <w:jc w:val="center"/>
      </w:pPr>
      <w:r>
        <w:rPr>
          <w:rFonts w:ascii="Arial" w:hAnsi="Arial" w:eastAsia="Arial"/>
          <w:b w:val="0"/>
          <w:color w:val="1F6E2A"/>
          <w:sz w:val="26"/>
        </w:rPr>
        <w:t>Cierre de diseño y gates de ejecución del SGC CAMPAR</w:t>
      </w:r>
    </w:p>
    <w:p>
      <w:pPr>
        <w:spacing w:before="320"/>
        <w:jc w:val="center"/>
      </w:pPr>
      <w:r>
        <w:rPr>
          <w:rFonts w:ascii="Arial" w:hAnsi="Arial" w:eastAsia="Arial"/>
          <w:b/>
          <w:color w:val="20252B"/>
          <w:sz w:val="24"/>
        </w:rPr>
        <w:t>DOC-IMP-01  |  Versión 1.1</w:t>
      </w:r>
    </w:p>
    <w:p>
      <w:pPr>
        <w:jc w:val="center"/>
      </w:pPr>
      <w:r>
        <w:rPr>
          <w:rFonts w:ascii="Arial" w:hAnsi="Arial" w:eastAsia="Arial"/>
          <w:b/>
          <w:color w:val="1F6E2A"/>
          <w:sz w:val="22"/>
        </w:rPr>
        <w:t>EN REVISIÓN PARA PILOTO</w:t>
      </w:r>
    </w:p>
    <w:p>
      <w:pPr>
        <w:spacing w:before="560"/>
        <w:jc w:val="center"/>
      </w:pPr>
      <w:r>
        <w:rPr>
          <w:rFonts w:ascii="Arial" w:hAnsi="Arial" w:eastAsia="Arial"/>
          <w:b/>
          <w:color w:val="7A5636"/>
          <w:sz w:val="22"/>
        </w:rPr>
        <w:t>Sistema de Gestión de Calidad CAMPAR</w:t>
      </w:r>
      <w:r>
        <w:rPr>
          <w:rFonts w:ascii="Arial" w:hAnsi="Arial" w:eastAsia="Arial"/>
          <w:color w:val="666666"/>
          <w:sz w:val="19"/>
        </w:rPr>
        <w:br/>
        <w:t>Comercialización y gestión del suministro de embalajes de madera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2835"/>
            <w:shd w:fill="F2E9D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C6B4"/>
              <w:left w:val="single" w:sz="4" w:color="D7C6B4"/>
              <w:bottom w:val="single" w:sz="4" w:color="D7C6B4"/>
              <w:right w:val="single" w:sz="4" w:color="D7C6B4"/>
            </w:tcBorders>
            <w:vAlign w:val="center"/>
          </w:tcPr>
          <w:p>
            <w:r>
              <w:rPr>
                <w:rFonts w:ascii="Arial" w:hAnsi="Arial" w:eastAsia="Arial"/>
                <w:b/>
                <w:color w:val="5B3A24"/>
                <w:sz w:val="18"/>
              </w:rPr>
              <w:t>Código</w:t>
            </w:r>
          </w:p>
        </w:tc>
        <w:tc>
          <w:tcPr>
            <w:tcW w:type="dxa" w:w="669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C6B4"/>
              <w:left w:val="single" w:sz="4" w:color="D7C6B4"/>
              <w:bottom w:val="single" w:sz="4" w:color="D7C6B4"/>
              <w:right w:val="single" w:sz="4" w:color="D7C6B4"/>
            </w:tcBorders>
            <w:vAlign w:val="center"/>
          </w:tcPr>
          <w:p>
            <w:r>
              <w:rPr>
                <w:rFonts w:ascii="Arial" w:hAnsi="Arial" w:eastAsia="Arial"/>
                <w:b w:val="0"/>
                <w:color w:val="20252B"/>
                <w:sz w:val="18"/>
              </w:rPr>
              <w:t>DOC-IMP-01</w:t>
            </w:r>
          </w:p>
        </w:tc>
      </w:tr>
      <w:tr>
        <w:tc>
          <w:tcPr>
            <w:tcW w:type="dxa" w:w="2835"/>
            <w:shd w:fill="F5F0E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C6B4"/>
              <w:left w:val="single" w:sz="4" w:color="D7C6B4"/>
              <w:bottom w:val="single" w:sz="4" w:color="D7C6B4"/>
              <w:right w:val="single" w:sz="4" w:color="D7C6B4"/>
            </w:tcBorders>
            <w:vAlign w:val="center"/>
          </w:tcPr>
          <w:p>
            <w:r>
              <w:rPr>
                <w:rFonts w:ascii="Arial" w:hAnsi="Arial" w:eastAsia="Arial"/>
                <w:b/>
                <w:color w:val="5B3A24"/>
                <w:sz w:val="18"/>
              </w:rPr>
              <w:t>Versión</w:t>
            </w:r>
          </w:p>
        </w:tc>
        <w:tc>
          <w:tcPr>
            <w:tcW w:type="dxa" w:w="669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C6B4"/>
              <w:left w:val="single" w:sz="4" w:color="D7C6B4"/>
              <w:bottom w:val="single" w:sz="4" w:color="D7C6B4"/>
              <w:right w:val="single" w:sz="4" w:color="D7C6B4"/>
            </w:tcBorders>
            <w:vAlign w:val="center"/>
          </w:tcPr>
          <w:p>
            <w:r>
              <w:rPr>
                <w:rFonts w:ascii="Arial" w:hAnsi="Arial" w:eastAsia="Arial"/>
                <w:b w:val="0"/>
                <w:color w:val="20252B"/>
                <w:sz w:val="18"/>
              </w:rPr>
              <w:t>1.1</w:t>
            </w:r>
          </w:p>
        </w:tc>
      </w:tr>
      <w:tr>
        <w:tc>
          <w:tcPr>
            <w:tcW w:type="dxa" w:w="2835"/>
            <w:shd w:fill="F2E9D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C6B4"/>
              <w:left w:val="single" w:sz="4" w:color="D7C6B4"/>
              <w:bottom w:val="single" w:sz="4" w:color="D7C6B4"/>
              <w:right w:val="single" w:sz="4" w:color="D7C6B4"/>
            </w:tcBorders>
            <w:vAlign w:val="center"/>
          </w:tcPr>
          <w:p>
            <w:r>
              <w:rPr>
                <w:rFonts w:ascii="Arial" w:hAnsi="Arial" w:eastAsia="Arial"/>
                <w:b/>
                <w:color w:val="5B3A24"/>
                <w:sz w:val="18"/>
              </w:rPr>
              <w:t>Estado</w:t>
            </w:r>
          </w:p>
        </w:tc>
        <w:tc>
          <w:tcPr>
            <w:tcW w:type="dxa" w:w="669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C6B4"/>
              <w:left w:val="single" w:sz="4" w:color="D7C6B4"/>
              <w:bottom w:val="single" w:sz="4" w:color="D7C6B4"/>
              <w:right w:val="single" w:sz="4" w:color="D7C6B4"/>
            </w:tcBorders>
            <w:vAlign w:val="center"/>
          </w:tcPr>
          <w:p>
            <w:r>
              <w:rPr>
                <w:rFonts w:ascii="Arial" w:hAnsi="Arial" w:eastAsia="Arial"/>
                <w:b w:val="0"/>
                <w:color w:val="20252B"/>
                <w:sz w:val="18"/>
              </w:rPr>
              <w:t>EN REVISIÓN PARA PILOTO</w:t>
            </w:r>
          </w:p>
        </w:tc>
      </w:tr>
      <w:tr>
        <w:tc>
          <w:tcPr>
            <w:tcW w:type="dxa" w:w="2835"/>
            <w:shd w:fill="F5F0E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C6B4"/>
              <w:left w:val="single" w:sz="4" w:color="D7C6B4"/>
              <w:bottom w:val="single" w:sz="4" w:color="D7C6B4"/>
              <w:right w:val="single" w:sz="4" w:color="D7C6B4"/>
            </w:tcBorders>
            <w:vAlign w:val="center"/>
          </w:tcPr>
          <w:p>
            <w:r>
              <w:rPr>
                <w:rFonts w:ascii="Arial" w:hAnsi="Arial" w:eastAsia="Arial"/>
                <w:b/>
                <w:color w:val="5B3A24"/>
                <w:sz w:val="18"/>
              </w:rPr>
              <w:t>Responsable / propietario</w:t>
            </w:r>
          </w:p>
        </w:tc>
        <w:tc>
          <w:tcPr>
            <w:tcW w:type="dxa" w:w="669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C6B4"/>
              <w:left w:val="single" w:sz="4" w:color="D7C6B4"/>
              <w:bottom w:val="single" w:sz="4" w:color="D7C6B4"/>
              <w:right w:val="single" w:sz="4" w:color="D7C6B4"/>
            </w:tcBorders>
            <w:vAlign w:val="center"/>
          </w:tcPr>
          <w:p>
            <w:r>
              <w:rPr>
                <w:rFonts w:ascii="Arial" w:hAnsi="Arial" w:eastAsia="Arial"/>
                <w:b w:val="0"/>
                <w:color w:val="20252B"/>
                <w:sz w:val="18"/>
              </w:rPr>
              <w:t>Equipo CAMPAR</w:t>
            </w:r>
          </w:p>
        </w:tc>
      </w:tr>
      <w:tr>
        <w:tc>
          <w:tcPr>
            <w:tcW w:type="dxa" w:w="2835"/>
            <w:shd w:fill="F2E9D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C6B4"/>
              <w:left w:val="single" w:sz="4" w:color="D7C6B4"/>
              <w:bottom w:val="single" w:sz="4" w:color="D7C6B4"/>
              <w:right w:val="single" w:sz="4" w:color="D7C6B4"/>
            </w:tcBorders>
            <w:vAlign w:val="center"/>
          </w:tcPr>
          <w:p>
            <w:r>
              <w:rPr>
                <w:rFonts w:ascii="Arial" w:hAnsi="Arial" w:eastAsia="Arial"/>
                <w:b/>
                <w:color w:val="5B3A24"/>
                <w:sz w:val="18"/>
              </w:rPr>
              <w:t>Aprobación</w:t>
            </w:r>
          </w:p>
        </w:tc>
        <w:tc>
          <w:tcPr>
            <w:tcW w:type="dxa" w:w="669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C6B4"/>
              <w:left w:val="single" w:sz="4" w:color="D7C6B4"/>
              <w:bottom w:val="single" w:sz="4" w:color="D7C6B4"/>
              <w:right w:val="single" w:sz="4" w:color="D7C6B4"/>
            </w:tcBorders>
            <w:vAlign w:val="center"/>
          </w:tcPr>
          <w:p>
            <w:r>
              <w:rPr>
                <w:rFonts w:ascii="Arial" w:hAnsi="Arial" w:eastAsia="Arial"/>
                <w:b w:val="0"/>
                <w:color w:val="20252B"/>
                <w:sz w:val="18"/>
              </w:rPr>
              <w:t>Dirección CAMPAR</w:t>
            </w:r>
          </w:p>
        </w:tc>
      </w:tr>
      <w:tr>
        <w:tc>
          <w:tcPr>
            <w:tcW w:type="dxa" w:w="2835"/>
            <w:shd w:fill="F5F0E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C6B4"/>
              <w:left w:val="single" w:sz="4" w:color="D7C6B4"/>
              <w:bottom w:val="single" w:sz="4" w:color="D7C6B4"/>
              <w:right w:val="single" w:sz="4" w:color="D7C6B4"/>
            </w:tcBorders>
            <w:vAlign w:val="center"/>
          </w:tcPr>
          <w:p>
            <w:r>
              <w:rPr>
                <w:rFonts w:ascii="Arial" w:hAnsi="Arial" w:eastAsia="Arial"/>
                <w:b/>
                <w:color w:val="5B3A24"/>
                <w:sz w:val="18"/>
              </w:rPr>
              <w:t>Clasificación</w:t>
            </w:r>
          </w:p>
        </w:tc>
        <w:tc>
          <w:tcPr>
            <w:tcW w:type="dxa" w:w="669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C6B4"/>
              <w:left w:val="single" w:sz="4" w:color="D7C6B4"/>
              <w:bottom w:val="single" w:sz="4" w:color="D7C6B4"/>
              <w:right w:val="single" w:sz="4" w:color="D7C6B4"/>
            </w:tcBorders>
            <w:vAlign w:val="center"/>
          </w:tcPr>
          <w:p>
            <w:r>
              <w:rPr>
                <w:rFonts w:ascii="Arial" w:hAnsi="Arial" w:eastAsia="Arial"/>
                <w:b w:val="0"/>
                <w:color w:val="20252B"/>
                <w:sz w:val="18"/>
              </w:rPr>
              <w:t>Uso interno controlado</w:t>
            </w:r>
          </w:p>
        </w:tc>
      </w:tr>
    </w:tbl>
    <w:p/>
    <w:p>
      <w:pPr>
        <w:pStyle w:val="Heading1"/>
      </w:pPr>
      <w:r>
        <w:t>Estado del proyecto</w:t>
      </w:r>
    </w:p>
    <w:p>
      <w:r>
        <w:t>La arquitectura del SGC se considera cerrada en diseño: 3 procesos estratégicos, 7 operativos y 3 de soporte. Los puntos restantes son gates de ejecución que deben cerrarse en el primer uso, primera OC, primera entrega o aprobación formal.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c>
          <w:tcPr>
            <w:tcW w:type="dxa" w:w="1191"/>
            <w:shd w:fill="5B3A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Gate</w:t>
            </w:r>
          </w:p>
        </w:tc>
        <w:tc>
          <w:tcPr>
            <w:tcW w:type="dxa" w:w="2608"/>
            <w:shd w:fill="5B3A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Momento</w:t>
            </w:r>
          </w:p>
        </w:tc>
        <w:tc>
          <w:tcPr>
            <w:tcW w:type="dxa" w:w="5726"/>
            <w:shd w:fill="5B3A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Condición de cierre</w:t>
            </w:r>
          </w:p>
        </w:tc>
      </w:tr>
      <w:tr>
        <w:tc>
          <w:tcPr>
            <w:tcW w:type="dxa" w:w="119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G-01</w:t>
            </w:r>
          </w:p>
        </w:tc>
        <w:tc>
          <w:tcPr>
            <w:tcW w:type="dxa" w:w="260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Antes de medir humedad</w:t>
            </w:r>
          </w:p>
        </w:tc>
        <w:tc>
          <w:tcPr>
            <w:tcW w:type="dxa" w:w="572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Especie de pino identificada si se utilizará corrección por especie del BDX-30.</w:t>
            </w:r>
          </w:p>
        </w:tc>
      </w:tr>
      <w:tr>
        <w:tc>
          <w:tcPr>
            <w:tcW w:type="dxa" w:w="1191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G-02</w:t>
            </w:r>
          </w:p>
        </w:tc>
        <w:tc>
          <w:tcPr>
            <w:tcW w:type="dxa" w:w="2608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Antes del primer uso MMD4E</w:t>
            </w:r>
          </w:p>
        </w:tc>
        <w:tc>
          <w:tcPr>
            <w:tcW w:type="dxa" w:w="5726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Comprobación interna satisfactoria e identificación del equipo.</w:t>
            </w:r>
          </w:p>
        </w:tc>
      </w:tr>
      <w:tr>
        <w:tc>
          <w:tcPr>
            <w:tcW w:type="dxa" w:w="119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G-03</w:t>
            </w:r>
          </w:p>
        </w:tc>
        <w:tc>
          <w:tcPr>
            <w:tcW w:type="dxa" w:w="260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Antes del primer uso BDX-30</w:t>
            </w:r>
          </w:p>
        </w:tc>
        <w:tc>
          <w:tcPr>
            <w:tcW w:type="dxa" w:w="572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Cal Check satisfactorio, serie, pines y condición registrados.</w:t>
            </w:r>
          </w:p>
        </w:tc>
      </w:tr>
      <w:tr>
        <w:tc>
          <w:tcPr>
            <w:tcW w:type="dxa" w:w="1191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G-04</w:t>
            </w:r>
          </w:p>
        </w:tc>
        <w:tc>
          <w:tcPr>
            <w:tcW w:type="dxa" w:w="2608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Antes de medir dimensiones</w:t>
            </w:r>
          </w:p>
        </w:tc>
        <w:tc>
          <w:tcPr>
            <w:tcW w:type="dxa" w:w="5726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Flexómetro identificado y referencia dimensional interna verificada.</w:t>
            </w:r>
          </w:p>
        </w:tc>
      </w:tr>
      <w:tr>
        <w:tc>
          <w:tcPr>
            <w:tcW w:type="dxa" w:w="119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G-05</w:t>
            </w:r>
          </w:p>
        </w:tc>
        <w:tc>
          <w:tcPr>
            <w:tcW w:type="dxa" w:w="260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Antes de inspeccionar una partida</w:t>
            </w:r>
          </w:p>
        </w:tc>
        <w:tc>
          <w:tcPr>
            <w:tcW w:type="dxa" w:w="572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Código vinculado a plano/revisión vigente.</w:t>
            </w:r>
          </w:p>
        </w:tc>
      </w:tr>
      <w:tr>
        <w:tc>
          <w:tcPr>
            <w:tcW w:type="dxa" w:w="1191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G-06</w:t>
            </w:r>
          </w:p>
        </w:tc>
        <w:tc>
          <w:tcPr>
            <w:tcW w:type="dxa" w:w="2608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Durante Piloto 1</w:t>
            </w:r>
          </w:p>
        </w:tc>
        <w:tc>
          <w:tcPr>
            <w:tcW w:type="dxa" w:w="5726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Validación práctica de Gustavo/Alessandri.</w:t>
            </w:r>
          </w:p>
        </w:tc>
      </w:tr>
      <w:tr>
        <w:tc>
          <w:tcPr>
            <w:tcW w:type="dxa" w:w="119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G-07</w:t>
            </w:r>
          </w:p>
        </w:tc>
        <w:tc>
          <w:tcPr>
            <w:tcW w:type="dxa" w:w="260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Antes de autonomía Ian/Cris</w:t>
            </w:r>
          </w:p>
        </w:tc>
        <w:tc>
          <w:tcPr>
            <w:tcW w:type="dxa" w:w="572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Evaluación práctica individual satisfactoria.</w:t>
            </w:r>
          </w:p>
        </w:tc>
      </w:tr>
      <w:tr>
        <w:tc>
          <w:tcPr>
            <w:tcW w:type="dxa" w:w="1191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G-08</w:t>
            </w:r>
          </w:p>
        </w:tc>
        <w:tc>
          <w:tcPr>
            <w:tcW w:type="dxa" w:w="2608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Primera entrega</w:t>
            </w:r>
          </w:p>
        </w:tc>
        <w:tc>
          <w:tcPr>
            <w:tcW w:type="dxa" w:w="5726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Revisar remisión real y determinar si cubre la evidencia de carga.</w:t>
            </w:r>
          </w:p>
        </w:tc>
      </w:tr>
      <w:tr>
        <w:tc>
          <w:tcPr>
            <w:tcW w:type="dxa" w:w="119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G-09</w:t>
            </w:r>
          </w:p>
        </w:tc>
        <w:tc>
          <w:tcPr>
            <w:tcW w:type="dxa" w:w="260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Antes de estado VIGENTE</w:t>
            </w:r>
          </w:p>
        </w:tc>
        <w:tc>
          <w:tcPr>
            <w:tcW w:type="dxa" w:w="572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Aprobación formal de documentos aplicables por Dirección.</w:t>
            </w:r>
          </w:p>
        </w:tc>
      </w:tr>
    </w:tbl>
    <w:p/>
    <w:p>
      <w:pPr>
        <w:pStyle w:val="Heading1"/>
      </w:pPr>
      <w:r>
        <w:t>Regla transitoria de muestreo</w:t>
      </w:r>
    </w:p>
    <w:p>
      <w:r>
        <w:t>Mientras los valores Ac/Re no hayan sido cotejados directamente contra la copia controlada de la tabla adoptada, no se utilizarán valores supuestos. Si aparece cualquier NC en la muestra, el lote se retiene y se amplía la revisión / inspección 100 % del lote afectado antes de decidir la liberación. Para lotes de 1 a 15 unidades, CAMPAR inspecciona 100 % como criterio interno.</w:t>
      </w:r>
    </w:p>
    <w:p>
      <w:pPr>
        <w:pStyle w:val="Heading1"/>
      </w:pPr>
      <w:r>
        <w:t>Secuencia recomendada del Piloto 1</w:t>
      </w:r>
    </w:p>
    <w:p>
      <w:pPr>
        <w:pStyle w:val="ListBullet"/>
      </w:pPr>
      <w:r>
        <w:t>Seleccionar una OC/partida real de complejidad moderada.</w:t>
      </w:r>
    </w:p>
    <w:p>
      <w:pPr>
        <w:pStyle w:val="ListBullet"/>
      </w:pPr>
      <w:r>
        <w:t>Confirmar producto, código, plano y revisión.</w:t>
      </w:r>
    </w:p>
    <w:p>
      <w:pPr>
        <w:pStyle w:val="ListBullet"/>
      </w:pPr>
      <w:r>
        <w:t>Cerrar gates de equipos antes de la primera medición.</w:t>
      </w:r>
    </w:p>
    <w:p>
      <w:pPr>
        <w:pStyle w:val="ListBullet"/>
      </w:pPr>
      <w:r>
        <w:t>Registrar OC y asignación en FR-PO01-01 / FR-PO02-01.</w:t>
      </w:r>
    </w:p>
    <w:p>
      <w:pPr>
        <w:pStyle w:val="ListBullet"/>
      </w:pPr>
      <w:r>
        <w:t>Ejecutar inspección mediante FR-PO03-01.</w:t>
      </w:r>
    </w:p>
    <w:p>
      <w:pPr>
        <w:pStyle w:val="ListBullet"/>
      </w:pPr>
      <w:r>
        <w:t>Actualizar inventario en FR-PO04-01.</w:t>
      </w:r>
    </w:p>
    <w:p>
      <w:pPr>
        <w:pStyle w:val="ListBullet"/>
      </w:pPr>
      <w:r>
        <w:t>Abrir FR-PO06-01 si aparece una NC real.</w:t>
      </w:r>
    </w:p>
    <w:p>
      <w:pPr>
        <w:pStyle w:val="ListBullet"/>
      </w:pPr>
      <w:r>
        <w:t>Revisar remisión en la primera entrega y documentar ajustes.</w:t>
      </w:r>
    </w:p>
    <w:p>
      <w:pPr>
        <w:pStyle w:val="ListBullet"/>
      </w:pPr>
      <w:r>
        <w:t>Consolidar observaciones del piloto antes de emitir cambios v1.1.</w:t>
      </w:r>
    </w:p>
    <w:p>
      <w:pPr>
        <w:pStyle w:val="Heading1"/>
      </w:pPr>
      <w:r>
        <w:t>Identidad documental</w:t>
      </w:r>
    </w:p>
    <w:p>
      <w:r>
        <w:t>A partir de esta revisión, la documentación nueva utiliza el logotipo oficial proporcionado por CAMPAR y la paleta corporativa derivada de la marca en portada, encabezado y elementos de control.</w:t>
      </w:r>
    </w:p>
    <w:p>
      <w:pPr>
        <w:pStyle w:val="Heading1"/>
      </w:pPr>
      <w:r>
        <w:t>Control de aprobación y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c>
          <w:tcPr>
            <w:tcW w:type="dxa" w:w="3175"/>
            <w:shd w:fill="1F6E2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Elaboró</w:t>
            </w:r>
          </w:p>
        </w:tc>
        <w:tc>
          <w:tcPr>
            <w:tcW w:type="dxa" w:w="3175"/>
            <w:shd w:fill="1F6E2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Revisó</w:t>
            </w:r>
          </w:p>
        </w:tc>
        <w:tc>
          <w:tcPr>
            <w:tcW w:type="dxa" w:w="3175"/>
            <w:shd w:fill="1F6E2A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Aprobó</w:t>
            </w:r>
          </w:p>
        </w:tc>
      </w:tr>
      <w:tr>
        <w:tc>
          <w:tcPr>
            <w:tcW w:type="dxa" w:w="317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__________________</w:t>
              <w:br/>
              <w:t>Apoyo SGC</w:t>
            </w:r>
          </w:p>
        </w:tc>
        <w:tc>
          <w:tcPr>
            <w:tcW w:type="dxa" w:w="317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__________________</w:t>
              <w:br/>
              <w:t>Responsable técnico</w:t>
            </w:r>
          </w:p>
        </w:tc>
        <w:tc>
          <w:tcPr>
            <w:tcW w:type="dxa" w:w="317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__________________</w:t>
              <w:br/>
              <w:t>Dirección</w:t>
            </w:r>
          </w:p>
        </w:tc>
      </w:tr>
      <w:tr>
        <w:tc>
          <w:tcPr>
            <w:tcW w:type="dxa" w:w="3175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Fecha: __________</w:t>
            </w:r>
          </w:p>
        </w:tc>
        <w:tc>
          <w:tcPr>
            <w:tcW w:type="dxa" w:w="3175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Fecha: __________</w:t>
            </w:r>
          </w:p>
        </w:tc>
        <w:tc>
          <w:tcPr>
            <w:tcW w:type="dxa" w:w="3175"/>
            <w:shd w:fill="FBF8F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Fecha: __________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1361"/>
            <w:shd w:fill="7A563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8164"/>
            <w:shd w:fill="7A563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Descripción del cambio</w:t>
            </w:r>
          </w:p>
        </w:tc>
      </w:tr>
      <w:tr>
        <w:tc>
          <w:tcPr>
            <w:tcW w:type="dxa" w:w="136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1.0</w:t>
            </w:r>
          </w:p>
        </w:tc>
        <w:tc>
          <w:tcPr>
            <w:tcW w:type="dxa" w:w="81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8CEC4"/>
              <w:left w:val="single" w:sz="4" w:color="D8CEC4"/>
              <w:bottom w:val="single" w:sz="4" w:color="D8CEC4"/>
              <w:right w:val="single" w:sz="4" w:color="D8CEC4"/>
            </w:tcBorders>
          </w:tcPr>
          <w:p>
            <w:r>
              <w:rPr>
                <w:rFonts w:ascii="Arial" w:hAnsi="Arial" w:eastAsia="Arial"/>
                <w:color w:val="20252B"/>
                <w:sz w:val="17"/>
              </w:rPr>
              <w:t>Primera emisión para revisión e implantación piloto.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219" w:right="1049" w:bottom="1020" w:left="104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66666"/>
        <w:sz w:val="16"/>
      </w:rPr>
      <w:t xml:space="preserve">SGC CAMPAR  |  Documento controlado  |  </w:t>
    </w:r>
    <w:r>
      <w:rPr>
        <w:rFonts w:ascii="Arial" w:hAnsi="Arial" w:eastAsia="Arial"/>
        <w:color w:val="666666"/>
        <w:sz w:val="16"/>
      </w:rPr>
      <w:fldChar w:fldCharType="begin"/>
      <w:instrText xml:space="preserve">PAGE</w:instrText>
      <w:fldChar w:fldCharType="end"/>
    </w:r>
    <w:r>
      <w:rPr>
        <w:rFonts w:ascii="Arial" w:hAnsi="Arial" w:eastAsia="Arial"/>
        <w:color w:val="666666"/>
        <w:sz w:val="16"/>
      </w:rPr>
      <w:t xml:space="preserve"> de </w:t>
    </w:r>
    <w:r>
      <w:rPr>
        <w:rFonts w:ascii="Arial" w:hAnsi="Arial" w:eastAsia="Arial"/>
        <w:color w:val="666666"/>
        <w:sz w:val="16"/>
      </w:rPr>
      <w:fldChar w:fldCharType="begin"/>
      <w:instrText xml:space="preserve">NUMPAGES</w:instrText>
      <w:fldChar w:fldCharType="end"/>
    </w:r>
    <w:r>
      <w:rPr>
        <w:rFonts w:ascii="Arial" w:hAnsi="Arial" w:eastAsia="Arial"/>
        <w:color w:val="666666"/>
        <w:sz w:val="16"/>
      </w:rPr>
      <w:t xml:space="preserve">  |  Copia impresa: no controlada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587"/>
      <w:gridCol w:w="5669"/>
      <w:gridCol w:w="2551"/>
    </w:tblGrid>
    <w:tr>
      <w:tc>
        <w:tcPr>
          <w:tcW w:type="dxa" w:w="3269"/>
          <w:tcMar>
            <w:top w:w="20" w:type="dxa"/>
            <w:start w:w="40" w:type="dxa"/>
            <w:bottom w:w="20" w:type="dxa"/>
            <w:end w:w="40" w:type="dxa"/>
          </w:tcMar>
          <w:tcBorders>
            <w:bottom w:val="single" w:sz="10" w:color="CBA76A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827999" cy="91485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ampar_logo_cropp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7999" cy="91485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69"/>
          <w:tcMar>
            <w:top w:w="20" w:type="dxa"/>
            <w:start w:w="40" w:type="dxa"/>
            <w:bottom w:w="20" w:type="dxa"/>
            <w:end w:w="40" w:type="dxa"/>
          </w:tcMar>
          <w:tcBorders>
            <w:bottom w:val="single" w:sz="10" w:color="CBA76A"/>
          </w:tcBorders>
        </w:tcPr>
        <w:p>
          <w:pPr>
            <w:jc w:val="center"/>
          </w:pPr>
          <w:r>
            <w:rPr>
              <w:rFonts w:ascii="Arial" w:hAnsi="Arial" w:eastAsia="Arial"/>
              <w:b/>
              <w:color w:val="5B3A24"/>
              <w:sz w:val="18"/>
            </w:rPr>
            <w:t>Guía de Implementación del Piloto</w:t>
          </w:r>
        </w:p>
      </w:tc>
      <w:tc>
        <w:tcPr>
          <w:tcW w:type="dxa" w:w="3269"/>
          <w:tcMar>
            <w:top w:w="20" w:type="dxa"/>
            <w:start w:w="40" w:type="dxa"/>
            <w:bottom w:w="20" w:type="dxa"/>
            <w:end w:w="40" w:type="dxa"/>
          </w:tcMar>
          <w:tcBorders>
            <w:bottom w:val="single" w:sz="10" w:color="CBA76A"/>
          </w:tcBorders>
        </w:tcPr>
        <w:p>
          <w:pPr>
            <w:jc w:val="right"/>
          </w:pPr>
          <w:r>
            <w:rPr>
              <w:rFonts w:ascii="Arial" w:hAnsi="Arial" w:eastAsia="Arial"/>
              <w:b/>
              <w:color w:val="1F6E2A"/>
              <w:sz w:val="15"/>
            </w:rPr>
            <w:t>DOC-IMP-01</w:t>
            <w:br/>
            <w:t>v1.1</w:t>
            <w:br/>
            <w:t>EN REVISIÓN PARA PILOTO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2025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5B3A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6E2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7A563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 w:eastAsia="Arial"/>
      <w:b/>
      <w:color w:val="5B3A2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