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rial" w:hAnsi="Arial" w:eastAsia="Arial" w:cs="Arial"/>
        </w:rPr>
        <w:drawing>
          <wp:inline xmlns:a="http://schemas.openxmlformats.org/drawingml/2006/main" xmlns:pic="http://schemas.openxmlformats.org/drawingml/2006/picture">
            <wp:extent cx="2015999" cy="22274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par_logo_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2227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/>
        <w:jc w:val="center"/>
      </w:pPr>
      <w:r>
        <w:rPr>
          <w:rFonts w:ascii="Arial" w:hAnsi="Arial" w:eastAsia="Arial" w:cs="Arial"/>
          <w:b/>
          <w:color w:val="5B3A24"/>
          <w:sz w:val="50"/>
        </w:rPr>
        <w:t>Manual de Calidad e Inspección CAMPAR</w:t>
      </w:r>
    </w:p>
    <w:p>
      <w:pPr>
        <w:jc w:val="center"/>
      </w:pPr>
      <w:r>
        <w:rPr>
          <w:rFonts w:ascii="Arial" w:hAnsi="Arial" w:eastAsia="Arial" w:cs="Arial"/>
          <w:b w:val="0"/>
          <w:color w:val="1F6E2A"/>
          <w:sz w:val="26"/>
        </w:rPr>
        <w:t>Guía integrada para inspección, liberación, retrabajo y trazabilidad</w:t>
      </w:r>
    </w:p>
    <w:p>
      <w:pPr>
        <w:spacing w:before="320"/>
        <w:jc w:val="center"/>
      </w:pPr>
      <w:r>
        <w:rPr>
          <w:rFonts w:ascii="Arial" w:hAnsi="Arial" w:eastAsia="Arial" w:cs="Arial"/>
        </w:rPr>
        <w:t>MAN-SGC-01  |  Versión 1.2</w:t>
      </w:r>
    </w:p>
    <w:p>
      <w:pPr>
        <w:jc w:val="center"/>
      </w:pPr>
      <w:r>
        <w:rPr>
          <w:rFonts w:ascii="Arial" w:hAnsi="Arial" w:eastAsia="Arial" w:cs="Arial"/>
          <w:b/>
          <w:color w:val="1F6E2A"/>
          <w:sz w:val="22"/>
        </w:rPr>
        <w:t>EN REVISIÓN PARA PILOTO</w:t>
      </w:r>
    </w:p>
    <w:p>
      <w:pPr>
        <w:spacing w:before="560"/>
        <w:jc w:val="center"/>
      </w:pPr>
      <w:r>
        <w:rPr>
          <w:rFonts w:ascii="Arial" w:hAnsi="Arial" w:eastAsia="Arial" w:cs="Arial"/>
          <w:b/>
          <w:color w:val="7A5636"/>
          <w:sz w:val="22"/>
        </w:rPr>
        <w:t>Sistema de Gestión de Calidad CAMPAR</w:t>
      </w:r>
      <w:r>
        <w:rPr>
          <w:rFonts w:ascii="Arial" w:hAnsi="Arial" w:eastAsia="Arial" w:cs="Arial"/>
          <w:color w:val="666666"/>
          <w:sz w:val="19"/>
        </w:rPr>
        <w:br/>
        <w:t>Comercialización y gestión del suministro de embalajes de madera</w:t>
      </w:r>
    </w:p>
    <w:p>
      <w:r>
        <w:rPr>
          <w:rFonts w:ascii="Arial" w:hAnsi="Arial" w:eastAsia="Arial" w:cs="Arial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2835"/>
            <w:shd w:fill="F2E9D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 w:cs="Arial"/>
                <w:b/>
                <w:color w:val="5B3A24"/>
                <w:sz w:val="18"/>
              </w:rPr>
              <w:t>Código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 w:cs="Arial"/>
                <w:b w:val="0"/>
                <w:color w:val="20252B"/>
                <w:sz w:val="18"/>
              </w:rPr>
              <w:t>MAN-SGC-01</w:t>
            </w:r>
          </w:p>
        </w:tc>
      </w:tr>
      <w:tr>
        <w:trPr>
          <w:cantSplit/>
        </w:trPr>
        <w:tc>
          <w:tcPr>
            <w:tcW w:type="dxa" w:w="2835"/>
            <w:shd w:fill="F5F0E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 w:cs="Arial"/>
                <w:b/>
                <w:color w:val="5B3A24"/>
                <w:sz w:val="18"/>
              </w:rPr>
              <w:t>Versión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  <w:b/>
                <w:color w:val="222222"/>
                <w:sz w:val="17"/>
              </w:rPr>
              <w:t>1.2</w:t>
            </w:r>
          </w:p>
        </w:tc>
      </w:tr>
      <w:tr>
        <w:trPr>
          <w:cantSplit/>
        </w:trPr>
        <w:tc>
          <w:tcPr>
            <w:tcW w:type="dxa" w:w="2835"/>
            <w:shd w:fill="F2E9D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 w:cs="Arial"/>
                <w:b/>
                <w:color w:val="5B3A24"/>
                <w:sz w:val="18"/>
              </w:rPr>
              <w:t>Estado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 w:cs="Arial"/>
                <w:b w:val="0"/>
                <w:color w:val="20252B"/>
                <w:sz w:val="18"/>
              </w:rPr>
              <w:t>EN REVISIÓN PARA PILOTO</w:t>
            </w:r>
          </w:p>
        </w:tc>
      </w:tr>
      <w:tr>
        <w:trPr>
          <w:cantSplit/>
        </w:trPr>
        <w:tc>
          <w:tcPr>
            <w:tcW w:type="dxa" w:w="2835"/>
            <w:shd w:fill="F5F0E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 w:cs="Arial"/>
                <w:b/>
                <w:color w:val="5B3A24"/>
                <w:sz w:val="18"/>
              </w:rPr>
              <w:t>Responsable / propietario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 w:cs="Arial"/>
                <w:b w:val="0"/>
                <w:color w:val="20252B"/>
                <w:sz w:val="18"/>
              </w:rPr>
              <w:t>Gustavo / Alessandri / Dirección</w:t>
            </w:r>
          </w:p>
        </w:tc>
      </w:tr>
      <w:tr>
        <w:trPr>
          <w:cantSplit/>
        </w:trPr>
        <w:tc>
          <w:tcPr>
            <w:tcW w:type="dxa" w:w="2835"/>
            <w:shd w:fill="F2E9D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 w:cs="Arial"/>
                <w:b/>
                <w:color w:val="5B3A24"/>
                <w:sz w:val="18"/>
              </w:rPr>
              <w:t>Aprobación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 w:cs="Arial"/>
                <w:b w:val="0"/>
                <w:color w:val="20252B"/>
                <w:sz w:val="18"/>
              </w:rPr>
              <w:t>Dirección CAMPAR</w:t>
            </w:r>
          </w:p>
        </w:tc>
      </w:tr>
      <w:tr>
        <w:trPr>
          <w:cantSplit/>
        </w:trPr>
        <w:tc>
          <w:tcPr>
            <w:tcW w:type="dxa" w:w="2835"/>
            <w:shd w:fill="F5F0E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 w:cs="Arial"/>
                <w:b/>
                <w:color w:val="5B3A24"/>
                <w:sz w:val="18"/>
              </w:rPr>
              <w:t>Clasificación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 w:cs="Arial"/>
                <w:b w:val="0"/>
                <w:color w:val="20252B"/>
                <w:sz w:val="18"/>
              </w:rPr>
              <w:t>Uso interno controlado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Índice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  <w:cantSplit/>
        </w:trPr>
        <w:tc>
          <w:tcPr>
            <w:tcW w:type="dxa" w:w="737"/>
            <w:shd w:fill="1F6E2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Cap.</w:t>
            </w:r>
          </w:p>
        </w:tc>
        <w:tc>
          <w:tcPr>
            <w:tcW w:type="dxa" w:w="4025"/>
            <w:shd w:fill="1F6E2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737"/>
            <w:shd w:fill="1F6E2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Cap.</w:t>
            </w:r>
          </w:p>
        </w:tc>
        <w:tc>
          <w:tcPr>
            <w:tcW w:type="dxa" w:w="4025"/>
            <w:shd w:fill="1F6E2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Contenido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1</w:t>
            </w:r>
          </w:p>
        </w:tc>
        <w:tc>
          <w:tcPr>
            <w:tcW w:type="dxa" w:w="402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Objetivo y alcance</w:t>
            </w:r>
          </w:p>
        </w:tc>
        <w:tc>
          <w:tcPr>
            <w:tcW w:type="dxa" w:w="73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11</w:t>
            </w:r>
          </w:p>
        </w:tc>
        <w:tc>
          <w:tcPr>
            <w:tcW w:type="dxa" w:w="402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Tratamiento térmico y marca fitosanitaria</w:t>
            </w:r>
          </w:p>
        </w:tc>
      </w:tr>
      <w:tr>
        <w:trPr>
          <w:cantSplit/>
        </w:trPr>
        <w:tc>
          <w:tcPr>
            <w:tcW w:type="dxa" w:w="737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2</w:t>
            </w:r>
          </w:p>
        </w:tc>
        <w:tc>
          <w:tcPr>
            <w:tcW w:type="dxa" w:w="402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Principios de control de calidad</w:t>
            </w:r>
          </w:p>
        </w:tc>
        <w:tc>
          <w:tcPr>
            <w:tcW w:type="dxa" w:w="737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12</w:t>
            </w:r>
          </w:p>
        </w:tc>
        <w:tc>
          <w:tcPr>
            <w:tcW w:type="dxa" w:w="402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Catálogo y clasificación de defectos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3</w:t>
            </w:r>
          </w:p>
        </w:tc>
        <w:tc>
          <w:tcPr>
            <w:tcW w:type="dxa" w:w="402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Roles, competencia y autoridad</w:t>
            </w:r>
          </w:p>
        </w:tc>
        <w:tc>
          <w:tcPr>
            <w:tcW w:type="dxa" w:w="73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13</w:t>
            </w:r>
          </w:p>
        </w:tc>
        <w:tc>
          <w:tcPr>
            <w:tcW w:type="dxa" w:w="402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Decisión de inspección y liberación</w:t>
            </w:r>
          </w:p>
        </w:tc>
      </w:tr>
      <w:tr>
        <w:trPr>
          <w:cantSplit/>
        </w:trPr>
        <w:tc>
          <w:tcPr>
            <w:tcW w:type="dxa" w:w="737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4</w:t>
            </w:r>
          </w:p>
        </w:tc>
        <w:tc>
          <w:tcPr>
            <w:tcW w:type="dxa" w:w="402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</w:rPr>
              <w:t>Preparación y procedimiento normativo de inspección</w:t>
            </w:r>
          </w:p>
        </w:tc>
        <w:tc>
          <w:tcPr>
            <w:tcW w:type="dxa" w:w="737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14</w:t>
            </w:r>
          </w:p>
        </w:tc>
        <w:tc>
          <w:tcPr>
            <w:tcW w:type="dxa" w:w="402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Segregación, retrabajo y reinspección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5</w:t>
            </w:r>
          </w:p>
        </w:tc>
        <w:tc>
          <w:tcPr>
            <w:tcW w:type="dxa" w:w="402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Identificación del lote y trazabilidad</w:t>
            </w:r>
          </w:p>
        </w:tc>
        <w:tc>
          <w:tcPr>
            <w:tcW w:type="dxa" w:w="73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15</w:t>
            </w:r>
          </w:p>
        </w:tc>
        <w:tc>
          <w:tcPr>
            <w:tcW w:type="dxa" w:w="402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No conformidades y rechazos</w:t>
            </w:r>
          </w:p>
        </w:tc>
      </w:tr>
      <w:tr>
        <w:trPr>
          <w:cantSplit/>
        </w:trPr>
        <w:tc>
          <w:tcPr>
            <w:tcW w:type="dxa" w:w="737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6</w:t>
            </w:r>
          </w:p>
        </w:tc>
        <w:tc>
          <w:tcPr>
            <w:tcW w:type="dxa" w:w="402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Muestreo para inspección</w:t>
            </w:r>
          </w:p>
        </w:tc>
        <w:tc>
          <w:tcPr>
            <w:tcW w:type="dxa" w:w="737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16</w:t>
            </w:r>
          </w:p>
        </w:tc>
        <w:tc>
          <w:tcPr>
            <w:tcW w:type="dxa" w:w="402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Carga, entrega y recepción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7</w:t>
            </w:r>
          </w:p>
        </w:tc>
        <w:tc>
          <w:tcPr>
            <w:tcW w:type="dxa" w:w="402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Equipos de medición y condición de aptitud</w:t>
            </w:r>
          </w:p>
        </w:tc>
        <w:tc>
          <w:tcPr>
            <w:tcW w:type="dxa" w:w="73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17</w:t>
            </w:r>
          </w:p>
        </w:tc>
        <w:tc>
          <w:tcPr>
            <w:tcW w:type="dxa" w:w="402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Registros y trazabilidad</w:t>
            </w:r>
          </w:p>
        </w:tc>
      </w:tr>
      <w:tr>
        <w:trPr>
          <w:cantSplit/>
        </w:trPr>
        <w:tc>
          <w:tcPr>
            <w:tcW w:type="dxa" w:w="737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8</w:t>
            </w:r>
          </w:p>
        </w:tc>
        <w:tc>
          <w:tcPr>
            <w:tcW w:type="dxa" w:w="402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Medición de humedad</w:t>
            </w:r>
          </w:p>
        </w:tc>
        <w:tc>
          <w:tcPr>
            <w:tcW w:type="dxa" w:w="737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18</w:t>
            </w:r>
          </w:p>
        </w:tc>
        <w:tc>
          <w:tcPr>
            <w:tcW w:type="dxa" w:w="402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Checklist rápido para campo</w:t>
            </w:r>
          </w:p>
        </w:tc>
      </w:tr>
      <w:tr>
        <w:trPr>
          <w:cantSplit/>
        </w:trPr>
        <w:tc>
          <w:tcPr>
            <w:tcW w:type="dxa" w:w="73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9</w:t>
            </w:r>
          </w:p>
        </w:tc>
        <w:tc>
          <w:tcPr>
            <w:tcW w:type="dxa" w:w="402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Inspección dimensional</w:t>
            </w:r>
          </w:p>
        </w:tc>
        <w:tc>
          <w:tcPr>
            <w:tcW w:type="dxa" w:w="73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19</w:t>
            </w:r>
          </w:p>
        </w:tc>
        <w:tc>
          <w:tcPr>
            <w:tcW w:type="dxa" w:w="402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Criterios pendientes y gates de piloto</w:t>
            </w:r>
          </w:p>
        </w:tc>
      </w:tr>
      <w:tr>
        <w:trPr>
          <w:cantSplit/>
        </w:trPr>
        <w:tc>
          <w:tcPr>
            <w:tcW w:type="dxa" w:w="737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10</w:t>
            </w:r>
          </w:p>
        </w:tc>
        <w:tc>
          <w:tcPr>
            <w:tcW w:type="dxa" w:w="402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Inspección visual y estructural</w:t>
            </w:r>
          </w:p>
        </w:tc>
        <w:tc>
          <w:tcPr>
            <w:tcW w:type="dxa" w:w="737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20</w:t>
            </w:r>
          </w:p>
        </w:tc>
        <w:tc>
          <w:tcPr>
            <w:tcW w:type="dxa" w:w="402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Referencias y documentos relacionados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1. Objetivo y alcance</w:t>
      </w:r>
    </w:p>
    <w:p>
      <w:r>
        <w:rPr>
          <w:rFonts w:ascii="Arial" w:hAnsi="Arial" w:eastAsia="Arial" w:cs="Arial"/>
        </w:rPr>
        <w:t>Establecer una guía única y práctica para ejecutar inspecciones de calidad en los embalajes de madera suministrados por CAMPAR, registrar evidencia objetiva, controlar el producto no conforme y separar claramente la actividad de inspección de la autoridad de liberación.</w:t>
      </w:r>
    </w:p>
    <w:p>
      <w:r>
        <w:rPr>
          <w:rFonts w:ascii="Arial" w:hAnsi="Arial" w:eastAsia="Arial" w:cs="Arial"/>
        </w:rPr>
        <w:t>Aplica a tarimas, marcos y demás embalajes de madera gestionados por CAMPAR, tanto de origen nacional como de exportación, desde que el producto se presenta para inspección hasta su liberación, retrabajo, reinspección, carga y eventual gestión de rechazo.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tblHeader w:val="true"/>
          <w:cantSplit/>
        </w:trPr>
        <w:tc>
          <w:tcPr>
            <w:tcW w:type="dxa" w:w="9808"/>
            <w:shd w:fill="EAF4EA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10" w:color="2A9134"/>
              <w:left w:val="single" w:sz="18" w:color="2A9134"/>
              <w:bottom w:val="single" w:sz="10" w:color="2A9134"/>
              <w:right w:val="single" w:sz="10" w:color="2A9134"/>
            </w:tcBorders>
          </w:tcPr>
          <w:p>
            <w:r>
              <w:rPr>
                <w:rFonts w:ascii="Arial" w:hAnsi="Arial" w:eastAsia="Arial" w:cs="Arial"/>
                <w:b/>
                <w:color w:val="2A9134"/>
                <w:sz w:val="20"/>
              </w:rPr>
              <w:t xml:space="preserve">Regla de jerarquía:  </w:t>
            </w:r>
            <w:r>
              <w:rPr>
                <w:rFonts w:ascii="Arial" w:hAnsi="Arial" w:eastAsia="Arial" w:cs="Arial"/>
                <w:color w:val="20252B"/>
                <w:sz w:val="19"/>
              </w:rPr>
              <w:t>Requisito legal/reglamentario &gt; requisito del cliente/plano &gt; norma técnica adoptada &gt; criterio interno CAMPAR. El manual orienta la aplicación, pero no sustituye el plano o requisito vigente.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2. Principios de control de calidad</w:t>
      </w:r>
    </w:p>
    <w:p>
      <w:pPr>
        <w:pStyle w:val="ListBullet"/>
      </w:pPr>
      <w:r>
        <w:rPr>
          <w:rFonts w:ascii="Arial" w:hAnsi="Arial" w:eastAsia="Arial" w:cs="Arial"/>
        </w:rPr>
        <w:t>La fabricación está externalizada, pero CAMPAR conserva el control de la conformidad del producto suministrado.</w:t>
      </w:r>
    </w:p>
    <w:p>
      <w:pPr>
        <w:pStyle w:val="ListBullet"/>
      </w:pPr>
      <w:r>
        <w:rPr>
          <w:rFonts w:ascii="Arial" w:hAnsi="Arial" w:eastAsia="Arial" w:cs="Arial"/>
        </w:rPr>
        <w:t>El código del producto y su plano/revisión vigente son la base para inspeccionar; no se inspecciona por memoria ni por similitud visual.</w:t>
      </w:r>
    </w:p>
    <w:p>
      <w:pPr>
        <w:pStyle w:val="ListBullet"/>
      </w:pPr>
      <w:r>
        <w:rPr>
          <w:rFonts w:ascii="Arial" w:hAnsi="Arial" w:eastAsia="Arial" w:cs="Arial"/>
        </w:rPr>
        <w:t>La inspección se apoya en evidencia: valores medidos, defectos identificados, fotografías cuando aporten valor y registros trazables.</w:t>
      </w:r>
    </w:p>
    <w:p>
      <w:pPr>
        <w:pStyle w:val="ListBullet"/>
      </w:pPr>
      <w:r>
        <w:rPr>
          <w:rFonts w:ascii="Arial" w:hAnsi="Arial" w:eastAsia="Arial" w:cs="Arial"/>
        </w:rPr>
        <w:t>Producto no conforme detectado no se vuelve conforme por aceptación estadística del lote; las piezas identificadas deben segregarse y tratarse.</w:t>
      </w:r>
    </w:p>
    <w:p>
      <w:pPr>
        <w:pStyle w:val="ListBullet"/>
      </w:pPr>
      <w:r>
        <w:rPr>
          <w:rFonts w:ascii="Arial" w:hAnsi="Arial" w:eastAsia="Arial" w:cs="Arial"/>
        </w:rPr>
        <w:t>Inspeccionar no equivale a liberar. La autoridad actual de liberación corresponde a Gustavo o Alessandri.</w:t>
      </w:r>
    </w:p>
    <w:p>
      <w:pPr>
        <w:pStyle w:val="ListBullet"/>
      </w:pPr>
      <w:r>
        <w:rPr>
          <w:rFonts w:ascii="Arial" w:hAnsi="Arial" w:eastAsia="Arial" w:cs="Arial"/>
        </w:rPr>
        <w:t>Todo producto retrabajado debe reinspeccionarse antes de reincorporarse a condición liberada.</w:t>
      </w:r>
    </w:p>
    <w:p>
      <w:pPr>
        <w:pStyle w:val="ListBullet"/>
      </w:pPr>
      <w:r>
        <w:rPr>
          <w:rFonts w:ascii="Arial" w:hAnsi="Arial" w:eastAsia="Arial" w:cs="Arial"/>
        </w:rPr>
        <w:t>La urgencia o cambio de prioridad no autoriza reducir controles de calidad.</w:t>
      </w:r>
    </w:p>
    <w:p>
      <w:pPr>
        <w:pStyle w:val="Heading1"/>
      </w:pPr>
      <w:r>
        <w:rPr>
          <w:rFonts w:ascii="Arial" w:hAnsi="Arial" w:eastAsia="Arial" w:cs="Arial"/>
        </w:rPr>
        <w:t>3. Roles, competencia y autoridad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  <w:cantSplit/>
        </w:trPr>
        <w:tc>
          <w:tcPr>
            <w:tcW w:type="dxa" w:w="1814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Rol</w:t>
            </w:r>
          </w:p>
        </w:tc>
        <w:tc>
          <w:tcPr>
            <w:tcW w:type="dxa" w:w="1814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Puede inspeccionar</w:t>
            </w:r>
          </w:p>
        </w:tc>
        <w:tc>
          <w:tcPr>
            <w:tcW w:type="dxa" w:w="1814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Puede reinspeccionar</w:t>
            </w:r>
          </w:p>
        </w:tc>
        <w:tc>
          <w:tcPr>
            <w:tcW w:type="dxa" w:w="1701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Puede liberar</w:t>
            </w:r>
          </w:p>
        </w:tc>
        <w:tc>
          <w:tcPr>
            <w:tcW w:type="dxa" w:w="2381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Gustavo</w:t>
            </w:r>
          </w:p>
        </w:tc>
        <w:tc>
          <w:tcPr>
            <w:tcW w:type="dxa" w:w="181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Sí, sujeto a validación formal</w:t>
            </w:r>
          </w:p>
        </w:tc>
        <w:tc>
          <w:tcPr>
            <w:tcW w:type="dxa" w:w="181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Sí</w:t>
            </w:r>
          </w:p>
        </w:tc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Sí</w:t>
            </w:r>
          </w:p>
        </w:tc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Autoridad actual de liberación</w:t>
            </w:r>
          </w:p>
        </w:tc>
      </w:tr>
      <w:tr>
        <w:trPr>
          <w:cantSplit/>
        </w:trPr>
        <w:tc>
          <w:tcPr>
            <w:tcW w:type="dxa" w:w="181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Alessandri</w:t>
            </w:r>
          </w:p>
        </w:tc>
        <w:tc>
          <w:tcPr>
            <w:tcW w:type="dxa" w:w="181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Sí, sujeto a validación formal</w:t>
            </w:r>
          </w:p>
        </w:tc>
        <w:tc>
          <w:tcPr>
            <w:tcW w:type="dxa" w:w="181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Sí</w:t>
            </w:r>
          </w:p>
        </w:tc>
        <w:tc>
          <w:tcPr>
            <w:tcW w:type="dxa" w:w="170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Sí</w:t>
            </w:r>
          </w:p>
        </w:tc>
        <w:tc>
          <w:tcPr>
            <w:tcW w:type="dxa" w:w="238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Autoridad actual de liberación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Ian</w:t>
            </w:r>
          </w:p>
        </w:tc>
        <w:tc>
          <w:tcPr>
            <w:tcW w:type="dxa" w:w="181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Sí bajo supervisión hasta quedar APTO</w:t>
            </w:r>
          </w:p>
        </w:tc>
        <w:tc>
          <w:tcPr>
            <w:tcW w:type="dxa" w:w="181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Sí bajo supervisión</w:t>
            </w:r>
          </w:p>
        </w:tc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No</w:t>
            </w:r>
          </w:p>
        </w:tc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Autonomía sólo tras validación COM-02/03</w:t>
            </w:r>
          </w:p>
        </w:tc>
      </w:tr>
      <w:tr>
        <w:trPr>
          <w:cantSplit/>
        </w:trPr>
        <w:tc>
          <w:tcPr>
            <w:tcW w:type="dxa" w:w="181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Cris</w:t>
            </w:r>
          </w:p>
        </w:tc>
        <w:tc>
          <w:tcPr>
            <w:tcW w:type="dxa" w:w="181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Sí bajo supervisión hasta quedar APTO</w:t>
            </w:r>
          </w:p>
        </w:tc>
        <w:tc>
          <w:tcPr>
            <w:tcW w:type="dxa" w:w="181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Sí bajo supervisión</w:t>
            </w:r>
          </w:p>
        </w:tc>
        <w:tc>
          <w:tcPr>
            <w:tcW w:type="dxa" w:w="170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No</w:t>
            </w:r>
          </w:p>
        </w:tc>
        <w:tc>
          <w:tcPr>
            <w:tcW w:type="dxa" w:w="238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Autonomía sólo tras validación COM-02/03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Esmeralda</w:t>
            </w:r>
          </w:p>
        </w:tc>
        <w:tc>
          <w:tcPr>
            <w:tcW w:type="dxa" w:w="181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No como función principal</w:t>
            </w:r>
          </w:p>
        </w:tc>
        <w:tc>
          <w:tcPr>
            <w:tcW w:type="dxa" w:w="181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No</w:t>
            </w:r>
          </w:p>
        </w:tc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No</w:t>
            </w:r>
          </w:p>
        </w:tc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Control documental, OC, inventario y trazabilidad</w:t>
            </w:r>
          </w:p>
        </w:tc>
      </w:tr>
      <w:tr>
        <w:trPr>
          <w:cantSplit/>
        </w:trPr>
        <w:tc>
          <w:tcPr>
            <w:tcW w:type="dxa" w:w="181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Sandra</w:t>
            </w:r>
          </w:p>
        </w:tc>
        <w:tc>
          <w:tcPr>
            <w:tcW w:type="dxa" w:w="181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No como función rutinaria</w:t>
            </w:r>
          </w:p>
        </w:tc>
        <w:tc>
          <w:tcPr>
            <w:tcW w:type="dxa" w:w="181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No</w:t>
            </w:r>
          </w:p>
        </w:tc>
        <w:tc>
          <w:tcPr>
            <w:tcW w:type="dxa" w:w="170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No rutinariamente</w:t>
            </w:r>
          </w:p>
        </w:tc>
        <w:tc>
          <w:tcPr>
            <w:tcW w:type="dxa" w:w="238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Dirección y escalamiento del SGC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tblHeader w:val="true"/>
          <w:cantSplit/>
        </w:trPr>
        <w:tc>
          <w:tcPr>
            <w:tcW w:type="dxa" w:w="9808"/>
            <w:shd w:fill="EAF1F8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10" w:color="3B6A9A"/>
              <w:left w:val="single" w:sz="18" w:color="3B6A9A"/>
              <w:bottom w:val="single" w:sz="10" w:color="3B6A9A"/>
              <w:right w:val="single" w:sz="10" w:color="3B6A9A"/>
            </w:tcBorders>
          </w:tcPr>
          <w:p>
            <w:r>
              <w:rPr>
                <w:rFonts w:ascii="Arial" w:hAnsi="Arial" w:eastAsia="Arial" w:cs="Arial"/>
                <w:b/>
                <w:color w:val="3B6A9A"/>
                <w:sz w:val="20"/>
              </w:rPr>
              <w:t xml:space="preserve">Competencia:  </w:t>
            </w:r>
            <w:r>
              <w:rPr>
                <w:rFonts w:ascii="Arial" w:hAnsi="Arial" w:eastAsia="Arial" w:cs="Arial"/>
                <w:color w:val="20252B"/>
                <w:sz w:val="19"/>
              </w:rPr>
              <w:t>Capacitación realizada no equivale automáticamente a competencia demostrada. El estado APTO se respalda mediante evaluación práctica y alcance autorizado.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4. Preparación y procedimiento normativo de inspección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2948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Verificación previa</w:t>
            </w:r>
          </w:p>
        </w:tc>
        <w:tc>
          <w:tcPr>
            <w:tcW w:type="dxa" w:w="6576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Criterio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Producto y código</w:t>
            </w:r>
          </w:p>
        </w:tc>
        <w:tc>
          <w:tcPr>
            <w:tcW w:type="dxa" w:w="6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Identificados sin ambigüedad.</w:t>
            </w:r>
          </w:p>
        </w:tc>
      </w:tr>
      <w:tr>
        <w:trPr>
          <w:cantSplit/>
        </w:trPr>
        <w:tc>
          <w:tcPr>
            <w:tcW w:type="dxa" w:w="294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OC / partida</w:t>
            </w:r>
          </w:p>
        </w:tc>
        <w:tc>
          <w:tcPr>
            <w:tcW w:type="dxa" w:w="657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Relacionadas cuando aplique.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Proveedor / aserradero</w:t>
            </w:r>
          </w:p>
        </w:tc>
        <w:tc>
          <w:tcPr>
            <w:tcW w:type="dxa" w:w="6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Origen conocido.</w:t>
            </w:r>
          </w:p>
        </w:tc>
      </w:tr>
      <w:tr>
        <w:trPr>
          <w:cantSplit/>
        </w:trPr>
        <w:tc>
          <w:tcPr>
            <w:tcW w:type="dxa" w:w="294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Plano / ficha / revisión</w:t>
            </w:r>
          </w:p>
        </w:tc>
        <w:tc>
          <w:tcPr>
            <w:tcW w:type="dxa" w:w="657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Vigente y aplicable al código.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Cantidad del lote</w:t>
            </w:r>
          </w:p>
        </w:tc>
        <w:tc>
          <w:tcPr>
            <w:tcW w:type="dxa" w:w="6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Conocida antes de definir muestra.</w:t>
            </w:r>
          </w:p>
        </w:tc>
      </w:tr>
      <w:tr>
        <w:trPr>
          <w:cantSplit/>
        </w:trPr>
        <w:tc>
          <w:tcPr>
            <w:tcW w:type="dxa" w:w="294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Tratamiento HT</w:t>
            </w:r>
          </w:p>
        </w:tc>
        <w:tc>
          <w:tcPr>
            <w:tcW w:type="dxa" w:w="657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Condición aplicable conocida; constancia disponible cuando corresponda.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Instrumentos</w:t>
            </w:r>
          </w:p>
        </w:tc>
        <w:tc>
          <w:tcPr>
            <w:tcW w:type="dxa" w:w="6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Identificados y en estado APTO.</w:t>
            </w:r>
          </w:p>
        </w:tc>
      </w:tr>
      <w:tr>
        <w:trPr>
          <w:cantSplit/>
        </w:trPr>
        <w:tc>
          <w:tcPr>
            <w:tcW w:type="dxa" w:w="294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Inspector</w:t>
            </w:r>
          </w:p>
        </w:tc>
        <w:tc>
          <w:tcPr>
            <w:tcW w:type="dxa" w:w="657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Competencia requerida validada o supervisión definida.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Área / presentación</w:t>
            </w:r>
          </w:p>
        </w:tc>
        <w:tc>
          <w:tcPr>
            <w:tcW w:type="dxa" w:w="6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Producto accesible para seleccionar una muestra representativa.</w:t>
            </w:r>
          </w:p>
        </w:tc>
      </w:tr>
    </w:tbl>
    <w:p>
      <w:pPr>
        <w:pStyle w:val="Heading2"/>
      </w:pPr>
      <w:r>
        <w:rPr>
          <w:rFonts w:ascii="Arial" w:hAnsi="Arial" w:eastAsia="Arial" w:cs="Arial"/>
        </w:rPr>
        <w:t>4.1 Base normativa y alcance de la inspección</w:t>
      </w:r>
    </w:p>
    <w:p>
      <w:pPr/>
      <w:r>
        <w:rPr>
          <w:rFonts w:ascii="Arial" w:hAnsi="Arial" w:eastAsia="Arial" w:cs="Arial"/>
        </w:rPr>
        <w:t>La inspección CAMPAR combina requisitos normativos, contractuales y controles internos. La tabla siguiente indica qué aporta cada referencia al procedimiento. La aplicación exacta de ISO 9001:2026 se mantiene vinculada a MAT-SGC-02 y a una copia controlada; este manual no reproduce ni sustituye el texto de la norma.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2448"/>
            <w:shd w:fill="4B2E1F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Referencia</w:t>
            </w:r>
          </w:p>
        </w:tc>
        <w:tc>
          <w:tcPr>
            <w:tcW w:type="dxa" w:w="2592"/>
            <w:shd w:fill="4B2E1F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Función dentro de la inspección</w:t>
            </w:r>
          </w:p>
        </w:tc>
        <w:tc>
          <w:tcPr>
            <w:tcW w:type="dxa" w:w="7200"/>
            <w:shd w:fill="4B2E1F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Aplicación CAMPAR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ISO 9001:2026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Marco del SGC</w:t>
            </w:r>
          </w:p>
        </w:tc>
        <w:tc>
          <w:tcPr>
            <w:tcW w:type="dxa" w:w="7200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Control operacional, evidencia de conformidad, liberación autorizada, trazabilidad y control de salidas no conformes. La correspondencia exacta de numerales se gestiona en MAT-SGC-02.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NMX-Z-12/2-1987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Muestreo por atributos</w:t>
            </w:r>
          </w:p>
        </w:tc>
        <w:tc>
          <w:tcPr>
            <w:tcW w:type="dxa" w:w="7200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Fuente adoptada para métodos/tablas de muestreo. ANX-PO03-01 contiene el plan aplicable; no se mezclan tablas con otras normas.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NOM-144-SEMARNAT-2017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Fitosanitario - comercio internacional</w:t>
            </w:r>
          </w:p>
        </w:tc>
        <w:tc>
          <w:tcPr>
            <w:tcW w:type="dxa" w:w="7200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Tratamiento, madera descortezada, autorización y requisitos de la Marca cuando el embalaje se utiliza en comercio internacional.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NOM-008-SE-2021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Unidades de medida</w:t>
            </w:r>
          </w:p>
        </w:tc>
        <w:tc>
          <w:tcPr>
            <w:tcW w:type="dxa" w:w="7200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Referencia para expresar y registrar magnitudes con unidades coherentes en mediciones y registros.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ISO 2859-1:2026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Referencia internacional complementaria</w:t>
            </w:r>
          </w:p>
        </w:tc>
        <w:tc>
          <w:tcPr>
            <w:tcW w:type="dxa" w:w="7200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Puede consultarse como referencia técnica, pero CAMPAR no mezcla sus tablas con las de NMX-Z-12/2-1987 dentro del mismo plan.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Plano / ficha / OC del cliente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Requisito contractual</w:t>
            </w:r>
          </w:p>
        </w:tc>
        <w:tc>
          <w:tcPr>
            <w:tcW w:type="dxa" w:w="7200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Define dimensiones, tolerancias, componentes, humedad y criterios particulares. Prevalece sobre criterios internos cuando sea más específico o estricto.</w:t>
            </w:r>
          </w:p>
        </w:tc>
      </w:tr>
    </w:tbl>
    <w:p>
      <w:pPr>
        <w:pStyle w:val="Heading2"/>
      </w:pPr>
      <w:r>
        <w:rPr>
          <w:rFonts w:ascii="Arial" w:hAnsi="Arial" w:eastAsia="Arial" w:cs="Arial"/>
        </w:rPr>
        <w:t>4.2 Procedimiento integrado de inspección</w:t>
      </w:r>
    </w:p>
    <w:p>
      <w:pPr/>
      <w:r>
        <w:rPr>
          <w:rFonts w:ascii="Arial" w:hAnsi="Arial" w:eastAsia="Arial" w:cs="Arial"/>
        </w:rPr>
        <w:t>El procedimiento siguiente integra los requisitos externos aplicables y los controles internos CAMPAR. No sustituye la copia controlada de una norma, un plano o una especificación del cliente; indica cómo debe actuar el inspector y qué evidencia debe conservar.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  <w:cantSplit/>
        </w:trPr>
        <w:tc>
          <w:tcPr>
            <w:tcW w:type="dxa" w:w="648"/>
            <w:shd w:fill="4B2E1F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1800"/>
            <w:shd w:fill="4B2E1F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392"/>
            <w:shd w:fill="4B2E1F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Acción del inspector</w:t>
            </w:r>
          </w:p>
        </w:tc>
        <w:tc>
          <w:tcPr>
            <w:tcW w:type="dxa" w:w="2592"/>
            <w:shd w:fill="4B2E1F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Fuente / criterio</w:t>
            </w:r>
          </w:p>
        </w:tc>
        <w:tc>
          <w:tcPr>
            <w:tcW w:type="dxa" w:w="2592"/>
            <w:shd w:fill="4B2E1F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Evidencia o decisión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1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Confirmar aplicabilidad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Identificar OC/partida, código, destino, condición nacional/exportación y si aplica NOM-144. Confirmar cualquier requisito especial del cliente.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ISO 9001:2026 como marco del SGC; PO-01; NOM-144 cuando corresponda.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Requisitos de inspección definidos antes de tocar el producto.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2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Verificar documentación técnica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Confirmar plano/ficha y revisión vigente para el código. No inspeccionar con un plano elegido por memoria o similitud.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Plano/ficha del cliente; PS-01.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Documento técnico identificado y vigente.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3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Definir el lote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Agrupar únicamente producto suficientemente homogéneo por código, proveedor, especificación/revisión y presentación conjunta.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Criterio interno CAMPAR - PO-03.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Cantidad del lote y origen definidos.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4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Determinar el plan de muestreo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Usar el plan vigente de ANX-PO03-01. CAMPAR adopta inspección normal y Nivel General II para el piloto; lotes de 1 a 15 se inspeccionan al 100 % por criterio interno.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NMX-Z-12/2-1987 + ANX-PO03-01. Requisito específico del cliente prevalece.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Tamaño de muestra documentado.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5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Seleccionar la muestra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La muestra la selecciona CAMPAR y debe distribuirse entre el lote. Evitar limitarse a piezas superiores, primeras piezas o unidades elegidas por el proveedor.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Aplicación interna del plan de muestreo.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Muestra representativa identificada.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6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Comprobar equipos y unidades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Usar sólo equipo identificado y APTO. Registrar dimensiones en unidades compatibles con el plano, temperatura en °C y humedad en %. No confundir temperatura con humedad.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PS-02; IT-PS02-01; NOM-008-SE-2021.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Equipo/ID y unidad de medida registrados.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7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Inspección dimensional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Medir dimensiones, separaciones y componentes indicados en el plano y comparar valor real contra nominal/tolerancia. No aplicar una tolerancia universal CAMPAR.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Plano/ficha vigente; PO-03.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Valores medidos y resultado por característica.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8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Medición de humedad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Aplicar IT-PS02-01 y el límite del cliente. Si el requisito es &lt;=20 %, usar la franja preventiva CAMPAR: &lt;18 % normal; 18-20 % confirmar; &gt;20 % NC. No promediar para ocultar una lectura fuera de límite.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Requisito contractual + IT-PS02-01. La franja 18-20 % es interna CAMPAR.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Lecturas, equipo, resultado y cualquier confirmación registrados.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9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Inspección visual y estructural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Revisar hongo, nudos/ojos, corteza, deformación, integridad, componentes, fijaciones, limpieza y otras características del plano o CAT-PO03-01.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Plano/cliente + CAT-PO03-01.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Defectos identificados y codificados.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10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Control fitosanitario cuando aplique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Para embalaje de madera de comercio internacional: verificar evidencia de tratamiento, autorización del proveedor y Marca conforme. Aplicar el detalle del capítulo 11.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NOM-144-SEMARNAT-2017.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Constancia/Marca/autorización vinculadas.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11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Registrar y clasificar NC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Registrar cada defecto observado y clasificar severidad según requisito aplicable. La unidad NC detectada no se vuelve conforme porque el lote resulte aceptable.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CAT-PO03-01; PO-03; PO-06.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Cantidad NC y evidencia trazable.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12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Determinar resultado de la muestra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Aplicar Ac/Re únicamente desde la tabla controlada adoptada. Mientras el piloto no tenga Ac/Re cotejado, cualquier NC en la muestra provoca retención y revisión ampliada/100 % del lote afectado antes de liberar.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NMX-Z-12/2-1987 + regla transitoria CAMPAR.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Resultado estadístico o regla transitoria documentada.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13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Segregar y contener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Identificar físicamente y en registro todo producto RETENIDO/NC. No mezclar con liberado ni cargarlo.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PO-04; PO-06.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Estado y cantidad segregada.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14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Liberación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El inspector registra el resultado. La liberación actual corresponde a Gustavo o Alessandri. Inspeccionar no equivale a liberar.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PO-03; MAT-SGC-01.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Nombre de quien autoriza, fecha/hora y cantidad liberada.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15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Retrabajo y reinspección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Todo producto retrabajado pasa a PENDIENTE DE REINSPECCIÓN y debe ser reinspeccionado antes de volver a condición liberada.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PO-03; PO-06.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Nueva INS vinculada con la NC/retrabajo.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16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Cerrar trazabilidad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Vincular inspección con OC/partida, producto, proveedor, plano, equipos, HT cuando aplique, NC, reinspección e inventario/entrega.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PS-01; FR-PO03-01 y registros relacionados.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sz w:val="15"/>
              </w:rPr>
              <w:t>Historia del producto reconstruible.</w:t>
            </w:r>
          </w:p>
        </w:tc>
      </w:tr>
    </w:tbl>
    <w:p>
      <w:pPr>
        <w:pStyle w:val="Heading2"/>
      </w:pPr>
      <w:r>
        <w:rPr>
          <w:rFonts w:ascii="Arial" w:hAnsi="Arial" w:eastAsia="Arial" w:cs="Arial"/>
        </w:rPr>
        <w:t>4.3 Regla para resolver conflictos entre criterios</w:t>
      </w:r>
    </w:p>
    <w:p>
      <w:pPr/>
      <w:r>
        <w:rPr>
          <w:rFonts w:ascii="Arial" w:hAnsi="Arial" w:eastAsia="Arial" w:cs="Arial"/>
        </w:rPr>
        <w:t>Cuando existan criterios diferentes, el inspector no debe elegir el más conveniente. Se aplica la jerarquía del SGC: requisito legal/reglamentario &gt; requisito contractual o plano del cliente &gt; norma técnica adoptada &gt; criterio interno CAMPAR. Si el conflicto no puede resolverse documentalmente, el lote permanece retenido hasta aclaración.</w:t>
      </w:r>
    </w:p>
    <w:p/>
    <w:p>
      <w:pPr>
        <w:pStyle w:val="Heading1"/>
      </w:pPr>
      <w:r>
        <w:rPr>
          <w:rFonts w:ascii="Arial" w:hAnsi="Arial" w:eastAsia="Arial" w:cs="Arial"/>
        </w:rPr>
        <w:t>5. Identificación del lote y trazabilidad</w:t>
      </w:r>
    </w:p>
    <w:p>
      <w:r>
        <w:rPr>
          <w:rFonts w:ascii="Arial" w:hAnsi="Arial" w:eastAsia="Arial" w:cs="Arial"/>
        </w:rPr>
        <w:t>Para CAMPAR, un lote de inspección es un conjunto de unidades suficientemente homogéneas en producto/código, proveedor, especificación o revisión y presentación conjunta para inspección. Producto de proveedores distintos no debe considerarse automáticamente un mismo lote.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2835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Dato mínimo</w:t>
            </w:r>
          </w:p>
        </w:tc>
        <w:tc>
          <w:tcPr>
            <w:tcW w:type="dxa" w:w="6690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Ejemplo / propósito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ID de inspección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INS-AAAA-####</w:t>
            </w:r>
          </w:p>
        </w:tc>
      </w:tr>
      <w:tr>
        <w:trPr>
          <w:cantSplit/>
        </w:trPr>
        <w:tc>
          <w:tcPr>
            <w:tcW w:type="dxa" w:w="283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Código / producto</w:t>
            </w:r>
          </w:p>
        </w:tc>
        <w:tc>
          <w:tcPr>
            <w:tcW w:type="dxa" w:w="6690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Llave técnica principal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Proveedor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Aserradero de origen</w:t>
            </w:r>
          </w:p>
        </w:tc>
      </w:tr>
      <w:tr>
        <w:trPr>
          <w:cantSplit/>
        </w:trPr>
        <w:tc>
          <w:tcPr>
            <w:tcW w:type="dxa" w:w="283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Plano / revisión</w:t>
            </w:r>
          </w:p>
        </w:tc>
        <w:tc>
          <w:tcPr>
            <w:tcW w:type="dxa" w:w="6690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Criterio dimensional y de componentes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Cantidad del lote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Base para muestreo</w:t>
            </w:r>
          </w:p>
        </w:tc>
      </w:tr>
      <w:tr>
        <w:trPr>
          <w:cantSplit/>
        </w:trPr>
        <w:tc>
          <w:tcPr>
            <w:tcW w:type="dxa" w:w="283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OC / partida</w:t>
            </w:r>
          </w:p>
        </w:tc>
        <w:tc>
          <w:tcPr>
            <w:tcW w:type="dxa" w:w="6690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Trazabilidad comercial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Constancia HT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Referencia cuando aplique</w:t>
            </w:r>
          </w:p>
        </w:tc>
      </w:tr>
      <w:tr>
        <w:trPr>
          <w:cantSplit/>
        </w:trPr>
        <w:tc>
          <w:tcPr>
            <w:tcW w:type="dxa" w:w="283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Equipo usado</w:t>
            </w:r>
          </w:p>
        </w:tc>
        <w:tc>
          <w:tcPr>
            <w:tcW w:type="dxa" w:w="6690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EQ-HUM-## / EQ-DIM-##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Inspector y liberador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Responsabilidades separadas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6. Muestreo para inspección</w:t>
      </w:r>
    </w:p>
    <w:p>
      <w:r>
        <w:rPr>
          <w:rFonts w:ascii="Arial" w:hAnsi="Arial" w:eastAsia="Arial" w:cs="Arial"/>
        </w:rPr>
        <w:t>La selección de muestra corresponde a CAMPAR y debe distribuirse razonablemente entre el producto presentado. No debe limitarse a las primeras piezas, las piezas superiores o unidades elegidas por el proveedor.</w:t>
      </w:r>
    </w:p>
    <w:p/>
    <w:p>
      <w:pPr>
        <w:spacing w:after="0"/>
      </w:pPr>
    </w:p>
    <w:p>
      <w:pPr>
        <w:pStyle w:val="Heading2"/>
        <w:spacing w:after="60" w:line="252" w:lineRule="auto"/>
      </w:pPr>
      <w:r>
        <w:rPr>
          <w:rFonts w:ascii="Arial" w:hAnsi="Arial" w:eastAsia="Arial" w:cs="Arial"/>
          <w:sz w:val="22"/>
        </w:rPr>
        <w:t>6.1 Selección del nivel de inspección</w:t>
      </w:r>
    </w:p>
    <w:p>
      <w:pPr>
        <w:spacing w:after="80" w:line="252" w:lineRule="auto"/>
      </w:pPr>
      <w:r>
        <w:rPr>
          <w:rFonts w:ascii="Arial" w:hAnsi="Arial" w:eastAsia="Arial" w:cs="Arial"/>
          <w:sz w:val="19"/>
        </w:rPr>
        <w:t>La NMX-Z-12/2-1987 establece tres niveles generales de inspección. A menos que se especifique otra cosa, se utiliza el Nivel General II. El Nivel I proporciona menor discriminación y el Nivel III mayor discriminación. Los niveles especiales S-1 a S-4 se reservan para situaciones que requieren muestras relativamente pequeñas y donde pueden tolerarse riesgos mayores; CAMPAR no los activa de forma rutinaria durante el piloto.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1008"/>
            <w:vAlign w:val="center"/>
            <w:shd w:fill="4A2D1F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4320"/>
            <w:vAlign w:val="center"/>
            <w:shd w:fill="4A2D1F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Cuándo usarlo</w:t>
            </w:r>
          </w:p>
        </w:tc>
        <w:tc>
          <w:tcPr>
            <w:tcW w:type="dxa" w:w="3744"/>
            <w:vAlign w:val="center"/>
            <w:shd w:fill="4A2D1F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Regla CAMPAR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I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Cuando se admite menor discriminación y existe justificación técnica/contractual.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No usar por defecto; requiere autorización o requisito específico.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II</w:t>
            </w:r>
          </w:p>
        </w:tc>
        <w:tc>
          <w:tcPr>
            <w:tcW w:type="dxa" w:w="4320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Nivel general por defecto cuando no existe otra instrucción.</w:t>
            </w:r>
          </w:p>
        </w:tc>
        <w:tc>
          <w:tcPr>
            <w:tcW w:type="dxa" w:w="3744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Nivel operativo estándar para CAMPAR.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III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Cuando se requiere mayor discriminación por riesgo, historial o requisito.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Puede adoptarse por decisión técnica documentada.</w:t>
            </w:r>
          </w:p>
        </w:tc>
      </w:tr>
    </w:tbl>
    <w:p>
      <w:pPr>
        <w:pStyle w:val="Heading2"/>
        <w:spacing w:after="60" w:line="252" w:lineRule="auto"/>
      </w:pPr>
      <w:r>
        <w:rPr>
          <w:rFonts w:ascii="Arial" w:hAnsi="Arial" w:eastAsia="Arial" w:cs="Arial"/>
          <w:sz w:val="22"/>
        </w:rPr>
        <w:t>6.2 Cantidad de unidades a inspeccionar - Nivel General II</w:t>
      </w:r>
    </w:p>
    <w:p>
      <w:pPr>
        <w:spacing w:after="80" w:line="252" w:lineRule="auto"/>
      </w:pPr>
      <w:r>
        <w:rPr>
          <w:rFonts w:ascii="Arial" w:hAnsi="Arial" w:eastAsia="Arial" w:cs="Arial"/>
          <w:sz w:val="19"/>
        </w:rPr>
        <w:t>La tabla siguiente se incorpora directamente al manual para uso en campo. Corresponde al esquema de muestreo por atributos con Nivel General II, que la NMX-Z-12/2-1987 establece como nivel general por defecto cuando no se especifica otro. Los valores de 2 a 35 000 unidades fueron contrastados además con una publicación del Diario Oficial de la Federación que resume la aplicación de las Tablas I y II-A.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2304"/>
            <w:vAlign w:val="center"/>
            <w:shd w:fill="4A2D1F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Tamaño del lote</w:t>
            </w:r>
          </w:p>
        </w:tc>
        <w:tc>
          <w:tcPr>
            <w:tcW w:type="dxa" w:w="2592"/>
            <w:vAlign w:val="center"/>
            <w:shd w:fill="4A2D1F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Muestra Nivel II</w:t>
            </w:r>
          </w:p>
        </w:tc>
        <w:tc>
          <w:tcPr>
            <w:tcW w:type="dxa" w:w="4320"/>
            <w:vAlign w:val="center"/>
            <w:shd w:fill="4A2D1F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Aplicación CAMPAR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1 (100 %) - criterio CAMPAR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Inspección 100 %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2 a 8</w:t>
            </w:r>
          </w:p>
        </w:tc>
        <w:tc>
          <w:tcPr>
            <w:tcW w:type="dxa" w:w="2592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2 (NMX) / 100 % CAMPAR</w:t>
            </w:r>
          </w:p>
        </w:tc>
        <w:tc>
          <w:tcPr>
            <w:tcW w:type="dxa" w:w="4320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CAMPAR inspecciona 100 % para lotes de hasta 15 unidades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9 a 15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3 (NMX) / 100 % CAMPAR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CAMPAR inspecciona 100 % para lotes de hasta 15 unidades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16 a 25</w:t>
            </w:r>
          </w:p>
        </w:tc>
        <w:tc>
          <w:tcPr>
            <w:tcW w:type="dxa" w:w="2592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4320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Aplicar tabla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26 a 50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8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Aplicar tabla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51 a 90</w:t>
            </w:r>
          </w:p>
        </w:tc>
        <w:tc>
          <w:tcPr>
            <w:tcW w:type="dxa" w:w="2592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13</w:t>
            </w:r>
          </w:p>
        </w:tc>
        <w:tc>
          <w:tcPr>
            <w:tcW w:type="dxa" w:w="4320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Aplicar tabla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91 a 150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20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Aplicar tabla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151 a 280</w:t>
            </w:r>
          </w:p>
        </w:tc>
        <w:tc>
          <w:tcPr>
            <w:tcW w:type="dxa" w:w="2592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32</w:t>
            </w:r>
          </w:p>
        </w:tc>
        <w:tc>
          <w:tcPr>
            <w:tcW w:type="dxa" w:w="4320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Aplicar tabla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281 a 500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50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Aplicar tabla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501 a 1 200</w:t>
            </w:r>
          </w:p>
        </w:tc>
        <w:tc>
          <w:tcPr>
            <w:tcW w:type="dxa" w:w="2592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80</w:t>
            </w:r>
          </w:p>
        </w:tc>
        <w:tc>
          <w:tcPr>
            <w:tcW w:type="dxa" w:w="4320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Aplicar tabla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1 201 a 3 200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125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Aplicar tabla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3 201 a 10 000</w:t>
            </w:r>
          </w:p>
        </w:tc>
        <w:tc>
          <w:tcPr>
            <w:tcW w:type="dxa" w:w="2592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200</w:t>
            </w:r>
          </w:p>
        </w:tc>
        <w:tc>
          <w:tcPr>
            <w:tcW w:type="dxa" w:w="4320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Aplicar tabla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10 001 a 35 000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315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Aplicar tabla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35 001 a 150 000</w:t>
            </w:r>
          </w:p>
        </w:tc>
        <w:tc>
          <w:tcPr>
            <w:tcW w:type="dxa" w:w="2592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500</w:t>
            </w:r>
          </w:p>
        </w:tc>
        <w:tc>
          <w:tcPr>
            <w:tcW w:type="dxa" w:w="4320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Aplicar tabla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150 001 a 500 000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800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Aplicar tabla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500 001 o más</w:t>
            </w:r>
          </w:p>
        </w:tc>
        <w:tc>
          <w:tcPr>
            <w:tcW w:type="dxa" w:w="2592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1 250</w:t>
            </w:r>
          </w:p>
        </w:tc>
        <w:tc>
          <w:tcPr>
            <w:tcW w:type="dxa" w:w="4320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Aplicar tabla</w:t>
            </w:r>
          </w:p>
        </w:tc>
      </w:tr>
    </w:tbl>
    <w:p>
      <w:pPr>
        <w:spacing w:after="100" w:line="252" w:lineRule="auto"/>
      </w:pPr>
      <w:r>
        <w:rPr>
          <w:rFonts w:ascii="Arial" w:hAnsi="Arial" w:eastAsia="Arial" w:cs="Arial"/>
          <w:i/>
          <w:color w:val="6B4B2A"/>
          <w:sz w:val="17"/>
        </w:rPr>
        <w:t>Nota operativa CAMPAR: para lotes de 1 a 15 unidades se mantiene inspección al 100 %. Esta es una decisión interna más conservadora que el tamaño de muestra mínimo indicado por el esquema normativo.</w:t>
      </w:r>
    </w:p>
    <w:p>
      <w:pPr>
        <w:pStyle w:val="Heading2"/>
        <w:spacing w:after="60" w:line="252" w:lineRule="auto"/>
      </w:pPr>
      <w:r>
        <w:rPr>
          <w:rFonts w:ascii="Arial" w:hAnsi="Arial" w:eastAsia="Arial" w:cs="Arial"/>
          <w:sz w:val="22"/>
        </w:rPr>
        <w:t>6.3 Cantidades cuando se seleccione Nivel I o Nivel III</w:t>
      </w:r>
    </w:p>
    <w:p>
      <w:pPr>
        <w:spacing w:after="80" w:line="252" w:lineRule="auto"/>
      </w:pPr>
      <w:r>
        <w:rPr>
          <w:rFonts w:ascii="Arial" w:hAnsi="Arial" w:eastAsia="Arial" w:cs="Arial"/>
          <w:sz w:val="19"/>
        </w:rPr>
        <w:t>Si un requisito del cliente o una decisión técnica documentada exige un nivel diferente, se utilizan las cantidades siguientes. El Nivel I reduce el tamaño de muestra; el Nivel III lo incrementa. El cambio de nivel debe registrarse en la inspección y no puede hacerse sólo para obtener un resultado más conveniente.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  <w:cantSplit/>
        </w:trPr>
        <w:tc>
          <w:tcPr>
            <w:tcW w:type="dxa" w:w="2880"/>
            <w:vAlign w:val="center"/>
            <w:shd w:fill="4A2D1F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Tamaño del lote</w:t>
            </w:r>
          </w:p>
        </w:tc>
        <w:tc>
          <w:tcPr>
            <w:tcW w:type="dxa" w:w="1656"/>
            <w:vAlign w:val="center"/>
            <w:shd w:fill="4A2D1F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Nivel I</w:t>
            </w:r>
          </w:p>
        </w:tc>
        <w:tc>
          <w:tcPr>
            <w:tcW w:type="dxa" w:w="1656"/>
            <w:vAlign w:val="center"/>
            <w:shd w:fill="4A2D1F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Nivel II</w:t>
            </w:r>
          </w:p>
        </w:tc>
        <w:tc>
          <w:tcPr>
            <w:tcW w:type="dxa" w:w="1656"/>
            <w:vAlign w:val="center"/>
            <w:shd w:fill="4A2D1F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Nivel III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2 a 8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9 a 15</w:t>
            </w:r>
          </w:p>
        </w:tc>
        <w:tc>
          <w:tcPr>
            <w:tcW w:type="dxa" w:w="1656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656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656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16 a 25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3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5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26 a 50</w:t>
            </w:r>
          </w:p>
        </w:tc>
        <w:tc>
          <w:tcPr>
            <w:tcW w:type="dxa" w:w="1656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5</w:t>
            </w:r>
          </w:p>
        </w:tc>
        <w:tc>
          <w:tcPr>
            <w:tcW w:type="dxa" w:w="1656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8</w:t>
            </w:r>
          </w:p>
        </w:tc>
        <w:tc>
          <w:tcPr>
            <w:tcW w:type="dxa" w:w="1656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13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51 a 90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5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13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20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91 a 150</w:t>
            </w:r>
          </w:p>
        </w:tc>
        <w:tc>
          <w:tcPr>
            <w:tcW w:type="dxa" w:w="1656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8</w:t>
            </w:r>
          </w:p>
        </w:tc>
        <w:tc>
          <w:tcPr>
            <w:tcW w:type="dxa" w:w="1656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20</w:t>
            </w:r>
          </w:p>
        </w:tc>
        <w:tc>
          <w:tcPr>
            <w:tcW w:type="dxa" w:w="1656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32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151 a 280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13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32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50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281 a 500</w:t>
            </w:r>
          </w:p>
        </w:tc>
        <w:tc>
          <w:tcPr>
            <w:tcW w:type="dxa" w:w="1656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20</w:t>
            </w:r>
          </w:p>
        </w:tc>
        <w:tc>
          <w:tcPr>
            <w:tcW w:type="dxa" w:w="1656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50</w:t>
            </w:r>
          </w:p>
        </w:tc>
        <w:tc>
          <w:tcPr>
            <w:tcW w:type="dxa" w:w="1656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80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501 a 1 200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32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80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125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1 201 a 3 200</w:t>
            </w:r>
          </w:p>
        </w:tc>
        <w:tc>
          <w:tcPr>
            <w:tcW w:type="dxa" w:w="1656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50</w:t>
            </w:r>
          </w:p>
        </w:tc>
        <w:tc>
          <w:tcPr>
            <w:tcW w:type="dxa" w:w="1656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125</w:t>
            </w:r>
          </w:p>
        </w:tc>
        <w:tc>
          <w:tcPr>
            <w:tcW w:type="dxa" w:w="1656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3 201 a 10 000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80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200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315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10 001 a 35 000</w:t>
            </w:r>
          </w:p>
        </w:tc>
        <w:tc>
          <w:tcPr>
            <w:tcW w:type="dxa" w:w="1656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125</w:t>
            </w:r>
          </w:p>
        </w:tc>
        <w:tc>
          <w:tcPr>
            <w:tcW w:type="dxa" w:w="1656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315</w:t>
            </w:r>
          </w:p>
        </w:tc>
        <w:tc>
          <w:tcPr>
            <w:tcW w:type="dxa" w:w="1656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500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35 001 a 150 000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200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500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800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150 001 a 500 000</w:t>
            </w:r>
          </w:p>
        </w:tc>
        <w:tc>
          <w:tcPr>
            <w:tcW w:type="dxa" w:w="1656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315</w:t>
            </w:r>
          </w:p>
        </w:tc>
        <w:tc>
          <w:tcPr>
            <w:tcW w:type="dxa" w:w="1656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800</w:t>
            </w:r>
          </w:p>
        </w:tc>
        <w:tc>
          <w:tcPr>
            <w:tcW w:type="dxa" w:w="1656"/>
            <w:vAlign w:val="center"/>
            <w:shd w:fill="F3F0EB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1250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500 001 o más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500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1250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sz w:val="15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5"/>
              </w:rPr>
              <w:t>2000</w:t>
            </w:r>
          </w:p>
        </w:tc>
      </w:tr>
    </w:tbl>
    <w:p>
      <w:pPr>
        <w:pStyle w:val="Heading2"/>
        <w:spacing w:after="60" w:line="252" w:lineRule="auto"/>
      </w:pPr>
      <w:r>
        <w:rPr>
          <w:rFonts w:ascii="Arial" w:hAnsi="Arial" w:eastAsia="Arial" w:cs="Arial"/>
          <w:sz w:val="22"/>
        </w:rPr>
        <w:t>6.4 Selección y distribución de la muestra</w:t>
      </w:r>
    </w:p>
    <w:p>
      <w:pPr>
        <w:spacing w:after="40" w:line="252" w:lineRule="auto"/>
      </w:pPr>
      <w:r>
        <w:rPr>
          <w:rFonts w:ascii="Arial" w:hAnsi="Arial" w:eastAsia="Arial" w:cs="Arial"/>
          <w:sz w:val="18"/>
        </w:rPr>
        <w:t>• La muestra debe seleccionarse estrictamente al azar sin considerar previamente la calidad aparente de las piezas.</w:t>
      </w:r>
    </w:p>
    <w:p>
      <w:pPr>
        <w:spacing w:after="40" w:line="252" w:lineRule="auto"/>
      </w:pPr>
      <w:r>
        <w:rPr>
          <w:rFonts w:ascii="Arial" w:hAnsi="Arial" w:eastAsia="Arial" w:cs="Arial"/>
          <w:sz w:val="18"/>
        </w:rPr>
        <w:t>• Cuando el lote esté dividido en estibas, sublotes o zonas físicamente identificables, la muestra debe distribuirse de forma representativa y proporcional cuando sea posible.</w:t>
      </w:r>
    </w:p>
    <w:p>
      <w:pPr>
        <w:spacing w:after="40" w:line="252" w:lineRule="auto"/>
      </w:pPr>
      <w:r>
        <w:rPr>
          <w:rFonts w:ascii="Arial" w:hAnsi="Arial" w:eastAsia="Arial" w:cs="Arial"/>
          <w:sz w:val="18"/>
        </w:rPr>
        <w:t>• No se permite inspeccionar únicamente las piezas superiores, las primeras disponibles o las seleccionadas por el proveedor.</w:t>
      </w:r>
    </w:p>
    <w:p>
      <w:pPr>
        <w:spacing w:after="40" w:line="252" w:lineRule="auto"/>
      </w:pPr>
      <w:r>
        <w:rPr>
          <w:rFonts w:ascii="Arial" w:hAnsi="Arial" w:eastAsia="Arial" w:cs="Arial"/>
          <w:sz w:val="18"/>
        </w:rPr>
        <w:t>• Las unidades no conformes detectadas pueden rechazarse individualmente aunque el lote resulte aceptable estadísticamente; deben segregarse, corregirse o retrabajarse y reinspeccionarse.</w:t>
      </w:r>
    </w:p>
    <w:p>
      <w:pPr>
        <w:pStyle w:val="Heading2"/>
        <w:spacing w:after="60" w:line="252" w:lineRule="auto"/>
      </w:pPr>
      <w:r>
        <w:rPr>
          <w:rFonts w:ascii="Arial" w:hAnsi="Arial" w:eastAsia="Arial" w:cs="Arial"/>
          <w:sz w:val="22"/>
        </w:rPr>
        <w:t>6.5 Inspección normal, rigurosa y reducida</w:t>
      </w:r>
    </w:p>
    <w:p>
      <w:pPr>
        <w:spacing w:after="80" w:line="252" w:lineRule="auto"/>
      </w:pPr>
      <w:r>
        <w:rPr>
          <w:rFonts w:ascii="Arial" w:hAnsi="Arial" w:eastAsia="Arial" w:cs="Arial"/>
          <w:sz w:val="19"/>
        </w:rPr>
        <w:t>La cantidad base de muestra proviene del tamaño de lote y del nivel de inspección seleccionado. En inspección rigurosa se mantiene la lógica de letra/tamaño de muestra y se endurece el criterio de aceptación/rechazo de la tabla correspondiente. La inspección reducida utiliza sus propios planes; CAMPAR la mantiene deshabilitada durante el piloto.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2016"/>
            <w:vAlign w:val="center"/>
            <w:shd w:fill="4A2D1F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Situación</w:t>
            </w:r>
          </w:p>
        </w:tc>
        <w:tc>
          <w:tcPr>
            <w:tcW w:type="dxa" w:w="4680"/>
            <w:vAlign w:val="center"/>
            <w:shd w:fill="4A2D1F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Regla de NMX-Z-12/2-1987</w:t>
            </w:r>
          </w:p>
        </w:tc>
        <w:tc>
          <w:tcPr>
            <w:tcW w:type="dxa" w:w="2880"/>
            <w:vAlign w:val="center"/>
            <w:shd w:fill="4A2D1F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Aplicación CAMPAR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Inicio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Usar inspección normal salvo acuerdo en contrario.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Normal.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Normal -&gt; rigurosa</w:t>
            </w:r>
          </w:p>
        </w:tc>
        <w:tc>
          <w:tcPr>
            <w:tcW w:type="dxa" w:w="4680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Cambiar cuando se rechazan 2 de 5 lotes consecutivos en inspección original.</w:t>
            </w:r>
          </w:p>
        </w:tc>
        <w:tc>
          <w:tcPr>
            <w:tcW w:type="dxa" w:w="2880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Activar seguimiento reforzado y usar plan riguroso.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Rigurosa -&gt; normal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Volver a normal cuando se aceptan 5 lotes consecutivos en inspección original.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Retornar a normal y documentar el cambio.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Reducida</w:t>
            </w:r>
          </w:p>
        </w:tc>
        <w:tc>
          <w:tcPr>
            <w:tcW w:type="dxa" w:w="4680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La norma prevé condiciones específicas para pasar de normal a reducida y para retornar a normal.</w:t>
            </w:r>
          </w:p>
        </w:tc>
        <w:tc>
          <w:tcPr>
            <w:tcW w:type="dxa" w:w="2880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Deshabilitada durante el piloto; no usar sin aprobación formal.</w:t>
            </w:r>
          </w:p>
        </w:tc>
      </w:tr>
    </w:tbl>
    <w:p>
      <w:pPr>
        <w:pStyle w:val="Heading2"/>
        <w:spacing w:after="60" w:line="252" w:lineRule="auto"/>
      </w:pPr>
      <w:r>
        <w:rPr>
          <w:rFonts w:ascii="Arial" w:hAnsi="Arial" w:eastAsia="Arial" w:cs="Arial"/>
          <w:sz w:val="22"/>
        </w:rPr>
        <w:t>6.6 Uso del NCA/AQL y criterio Ac/Re</w:t>
      </w:r>
    </w:p>
    <w:p>
      <w:pPr>
        <w:spacing w:after="80" w:line="252" w:lineRule="auto"/>
      </w:pPr>
      <w:r>
        <w:rPr>
          <w:rFonts w:ascii="Arial" w:hAnsi="Arial" w:eastAsia="Arial" w:cs="Arial"/>
          <w:sz w:val="18"/>
        </w:rPr>
        <w:t>El tamaño de la muestra queda definido en este manual; la aceptación o rechazo estadístico se determina además por el NCA/AQL aplicable y el plan de muestreo sencillo normal, riguroso o reducido. CAMPAR mantiene como valores internos de referencia AQL 2.5 para defectos mayores y AQL 4.0 para menores cuando no existe criterio específico del cliente; AQL 0.65 sólo se usa donde esté documentado para la característica correspondiente. Los números Ac/Re deben quedar cargados en ANX-PO03-01 y en la interfaz digital con fuente controlada antes de declararlos como criterio normativo definitivo.</w:t>
      </w:r>
    </w:p>
    <w:p>
      <w:pPr>
        <w:spacing w:after="80" w:line="252" w:lineRule="auto"/>
      </w:pPr>
      <w:r>
        <w:rPr>
          <w:rFonts w:ascii="Arial" w:hAnsi="Arial" w:eastAsia="Arial" w:cs="Arial"/>
          <w:b/>
          <w:color w:val="8A1F11"/>
          <w:sz w:val="18"/>
        </w:rPr>
        <w:t>Para defectos críticos, CAMPAR conserva la regla preventiva de retención desde la primera detección. Esto es independiente de que exista un plan estadístico específico: una pieza crítica detectada no se libera ni se convierte en conforme por aceptación estadística del lote.</w:t>
      </w:r>
    </w:p>
    <w:p>
      <w:pPr>
        <w:pStyle w:val="Heading1"/>
      </w:pPr>
      <w:r>
        <w:rPr>
          <w:rFonts w:ascii="Arial" w:hAnsi="Arial" w:eastAsia="Arial" w:cs="Arial"/>
        </w:rPr>
        <w:t>7. Equipos de medición y condición de aptitud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  <w:cantSplit/>
        </w:trPr>
        <w:tc>
          <w:tcPr>
            <w:tcW w:type="dxa" w:w="1587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81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Equipo</w:t>
            </w:r>
          </w:p>
        </w:tc>
        <w:tc>
          <w:tcPr>
            <w:tcW w:type="dxa" w:w="2381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175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Gate antes de uso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EQ-HUM-01</w:t>
            </w:r>
          </w:p>
        </w:tc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General Tools MMD4E</w:t>
            </w:r>
          </w:p>
        </w:tc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Medición rutinaria / tamizaje</w:t>
            </w:r>
          </w:p>
        </w:tc>
        <w:tc>
          <w:tcPr>
            <w:tcW w:type="dxa" w:w="317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Comprobación interna satisfactoria y registro en FR-PS02-01.</w:t>
            </w:r>
          </w:p>
        </w:tc>
      </w:tr>
      <w:tr>
        <w:trPr>
          <w:cantSplit/>
        </w:trPr>
        <w:tc>
          <w:tcPr>
            <w:tcW w:type="dxa" w:w="1587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EQ-HUM-02</w:t>
            </w:r>
          </w:p>
        </w:tc>
        <w:tc>
          <w:tcPr>
            <w:tcW w:type="dxa" w:w="238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Delmhorst Navigator BDX-30</w:t>
            </w:r>
          </w:p>
        </w:tc>
        <w:tc>
          <w:tcPr>
            <w:tcW w:type="dxa" w:w="238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Medición de madera y confirmación técnica</w:t>
            </w:r>
          </w:p>
        </w:tc>
        <w:tc>
          <w:tcPr>
            <w:tcW w:type="dxa" w:w="317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Cal Check satisfactorio, condición de pines y configuración aplicable.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EQ-DIM-##</w:t>
            </w:r>
          </w:p>
        </w:tc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Flexómetro identificado</w:t>
            </w:r>
          </w:p>
        </w:tc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Dimensiones cuya tolerancia/resolución lo permita</w:t>
            </w:r>
          </w:p>
        </w:tc>
        <w:tc>
          <w:tcPr>
            <w:tcW w:type="dxa" w:w="317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Verificación interna y referencia dimensional CAMPAR identificada.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tblHeader w:val="true"/>
          <w:cantSplit/>
        </w:trPr>
        <w:tc>
          <w:tcPr>
            <w:tcW w:type="dxa" w:w="9808"/>
            <w:shd w:fill="EAF1F8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10" w:color="3B6A9A"/>
              <w:left w:val="single" w:sz="18" w:color="3B6A9A"/>
              <w:bottom w:val="single" w:sz="10" w:color="3B6A9A"/>
              <w:right w:val="single" w:sz="10" w:color="3B6A9A"/>
            </w:tcBorders>
          </w:tcPr>
          <w:p>
            <w:r>
              <w:rPr>
                <w:rFonts w:ascii="Arial" w:hAnsi="Arial" w:eastAsia="Arial" w:cs="Arial"/>
                <w:b/>
                <w:color w:val="3B6A9A"/>
                <w:sz w:val="20"/>
              </w:rPr>
              <w:t xml:space="preserve">Criterio metrológico:  </w:t>
            </w:r>
            <w:r>
              <w:rPr>
                <w:rFonts w:ascii="Arial" w:hAnsi="Arial" w:eastAsia="Arial" w:cs="Arial"/>
                <w:color w:val="20252B"/>
                <w:sz w:val="19"/>
              </w:rPr>
              <w:t>No llamar “calibración” a una comprobación interna si no existe una calibración trazable que lo sustente. Si el instrumento o método no es apto para la tolerancia requerida, se debe usar un medio de medición adecuado.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8. Medición de humedad</w:t>
      </w:r>
    </w:p>
    <w:p>
      <w:pPr>
        <w:pStyle w:val="Heading2"/>
      </w:pPr>
      <w:r>
        <w:rPr>
          <w:rFonts w:ascii="Arial" w:hAnsi="Arial" w:eastAsia="Arial" w:cs="Arial"/>
        </w:rPr>
        <w:t>8.1 Requisito y decisión</w:t>
      </w:r>
    </w:p>
    <w:p>
      <w:r>
        <w:rPr>
          <w:rFonts w:ascii="Arial" w:hAnsi="Arial" w:eastAsia="Arial" w:cs="Arial"/>
        </w:rPr>
        <w:t>El límite de humedad debe provenir del plano, ficha o requisito vigente. Cuando el producto aplicable establece máximo 20 %, CAMPAR utiliza una franja preventiva interna para controlar mediciones próximas al límite.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2551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6973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Tratamiento CAMPAR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8"/>
              </w:rPr>
              <w:t>&lt; 18 %</w:t>
            </w:r>
          </w:p>
        </w:tc>
        <w:tc>
          <w:tcPr>
            <w:tcW w:type="dxa" w:w="697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8"/>
              </w:rPr>
              <w:t>Zona normal; continuar evaluación.</w:t>
            </w:r>
          </w:p>
        </w:tc>
      </w:tr>
      <w:tr>
        <w:trPr>
          <w:cantSplit/>
        </w:trPr>
        <w:tc>
          <w:tcPr>
            <w:tcW w:type="dxa" w:w="255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8"/>
              </w:rPr>
              <w:t>18.0 % a 20.0 %</w:t>
            </w:r>
          </w:p>
        </w:tc>
        <w:tc>
          <w:tcPr>
            <w:tcW w:type="dxa" w:w="6973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8"/>
              </w:rPr>
              <w:t>Conforme respecto al límite, pero zona preventiva: confirmar lectura/método.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8"/>
              </w:rPr>
              <w:t>&gt; 20.0 %</w:t>
            </w:r>
          </w:p>
        </w:tc>
        <w:tc>
          <w:tcPr>
            <w:tcW w:type="dxa" w:w="697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8"/>
              </w:rPr>
              <w:t>Unidad no conforme cuando el requisito aplicable sea &lt;= 20 %.</w:t>
            </w:r>
          </w:p>
        </w:tc>
      </w:tr>
    </w:tbl>
    <w:p/>
    <w:p>
      <w:pPr>
        <w:pStyle w:val="Heading2"/>
      </w:pPr>
      <w:r>
        <w:rPr>
          <w:rFonts w:ascii="Arial" w:hAnsi="Arial" w:eastAsia="Arial" w:cs="Arial"/>
        </w:rPr>
        <w:t>8.2 Método mínimo</w:t>
      </w:r>
    </w:p>
    <w:p>
      <w:pPr>
        <w:pStyle w:val="ListBullet"/>
      </w:pPr>
      <w:r>
        <w:rPr>
          <w:rFonts w:ascii="Arial" w:hAnsi="Arial" w:eastAsia="Arial" w:cs="Arial"/>
        </w:rPr>
        <w:t>Realizar al menos dos lecturas en puntos representativos diferentes por unidad muestreada.</w:t>
      </w:r>
    </w:p>
    <w:p>
      <w:pPr>
        <w:pStyle w:val="ListBullet"/>
      </w:pPr>
      <w:r>
        <w:rPr>
          <w:rFonts w:ascii="Arial" w:hAnsi="Arial" w:eastAsia="Arial" w:cs="Arial"/>
        </w:rPr>
        <w:t>Si la lectura está entre 18 % y 20 %, existe diferencia relevante o hay duda, realizar una tercera lectura y/o confirmación con el BDX-30.</w:t>
      </w:r>
    </w:p>
    <w:p>
      <w:pPr>
        <w:pStyle w:val="ListBullet"/>
      </w:pPr>
      <w:r>
        <w:rPr>
          <w:rFonts w:ascii="Arial" w:hAnsi="Arial" w:eastAsia="Arial" w:cs="Arial"/>
        </w:rPr>
        <w:t>No promediar una lectura válida superior al límite con otras menores para declarar conformidad.</w:t>
      </w:r>
    </w:p>
    <w:p>
      <w:pPr>
        <w:pStyle w:val="ListBullet"/>
      </w:pPr>
      <w:r>
        <w:rPr>
          <w:rFonts w:ascii="Arial" w:hAnsi="Arial" w:eastAsia="Arial" w:cs="Arial"/>
        </w:rPr>
        <w:t>No medir con dos equipos y escoger automáticamente el valor inferior.</w:t>
      </w:r>
    </w:p>
    <w:p>
      <w:pPr>
        <w:pStyle w:val="ListBullet"/>
      </w:pPr>
      <w:r>
        <w:rPr>
          <w:rFonts w:ascii="Arial" w:hAnsi="Arial" w:eastAsia="Arial" w:cs="Arial"/>
        </w:rPr>
        <w:t>Una discrepancia capaz de cambiar la decisión obliga a retener la decisión, revisar equipos/configuración y repetir.</w:t>
      </w:r>
    </w:p>
    <w:p>
      <w:pPr>
        <w:pStyle w:val="Heading2"/>
      </w:pPr>
      <w:r>
        <w:rPr>
          <w:rFonts w:ascii="Arial" w:hAnsi="Arial" w:eastAsia="Arial" w:cs="Arial"/>
        </w:rPr>
        <w:t>8.3 MMD4E</w:t>
      </w:r>
    </w:p>
    <w:p>
      <w:r>
        <w:rPr>
          <w:rFonts w:ascii="Arial" w:hAnsi="Arial" w:eastAsia="Arial" w:cs="Arial"/>
        </w:rPr>
        <w:t>Antes del uso formal se realiza la comprobación interna prevista por el fabricante. Para el equipo actual, el criterio de comprobación documentado es 18.3 % ± 1 % en modo madera. Un resultado persistente fuera del intervalo requiere pasar el equipo a EN VERIFICACIÓN.</w:t>
      </w:r>
    </w:p>
    <w:p>
      <w:pPr>
        <w:pStyle w:val="Heading2"/>
      </w:pPr>
      <w:r>
        <w:rPr>
          <w:rFonts w:ascii="Arial" w:hAnsi="Arial" w:eastAsia="Arial" w:cs="Arial"/>
        </w:rPr>
        <w:t>8.4 Navigator BDX-30</w:t>
      </w:r>
    </w:p>
    <w:p>
      <w:r>
        <w:rPr>
          <w:rFonts w:ascii="Arial" w:hAnsi="Arial" w:eastAsia="Arial" w:cs="Arial"/>
        </w:rPr>
        <w:t>El BDX-30 permite corrección/configuración asociada a la especie y a la temperatura. La especie exacta utilizada bajo la denominación “pino nacional” debe corroborarse con el proveedor; no se inferirá. Antes del uso se realizará su comprobación interna y se registrará el resultado, serie y condición física del equipo.</w:t>
      </w:r>
    </w:p>
    <w:p>
      <w:pPr>
        <w:pStyle w:val="Heading1"/>
      </w:pPr>
      <w:r>
        <w:rPr>
          <w:rFonts w:ascii="Arial" w:hAnsi="Arial" w:eastAsia="Arial" w:cs="Arial"/>
        </w:rPr>
        <w:t>9. Inspección dimensional</w:t>
      </w:r>
    </w:p>
    <w:p>
      <w:r>
        <w:rPr>
          <w:rFonts w:ascii="Arial" w:hAnsi="Arial" w:eastAsia="Arial" w:cs="Arial"/>
        </w:rPr>
        <w:t>Las dimensiones, tolerancias, separaciones y medidas de componentes se evalúan contra el plano/ficha vigente de cada código. No existe una tolerancia universal CAMPAR aplicable a todos los modelos. Las mediciones deben registrarse con unidades coherentes conforme al documento técnico y a NOM-008-SE-2021; por ejemplo, dimensiones en mm o cm, temperatura en °C y humedad en 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850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674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1</w:t>
            </w:r>
          </w:p>
        </w:tc>
        <w:tc>
          <w:tcPr>
            <w:tcW w:type="dxa" w:w="867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Identificar la característica y valor nominal en el plano.</w:t>
            </w:r>
          </w:p>
        </w:tc>
      </w:tr>
      <w:tr>
        <w:trPr>
          <w:cantSplit/>
        </w:trPr>
        <w:tc>
          <w:tcPr>
            <w:tcW w:type="dxa" w:w="850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2</w:t>
            </w:r>
          </w:p>
        </w:tc>
        <w:tc>
          <w:tcPr>
            <w:tcW w:type="dxa" w:w="867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Identificar la tolerancia específica.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3</w:t>
            </w:r>
          </w:p>
        </w:tc>
        <w:tc>
          <w:tcPr>
            <w:tcW w:type="dxa" w:w="867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Seleccionar un instrumento con resolución suficiente.</w:t>
            </w:r>
          </w:p>
        </w:tc>
      </w:tr>
      <w:tr>
        <w:trPr>
          <w:cantSplit/>
        </w:trPr>
        <w:tc>
          <w:tcPr>
            <w:tcW w:type="dxa" w:w="850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4</w:t>
            </w:r>
          </w:p>
        </w:tc>
        <w:tc>
          <w:tcPr>
            <w:tcW w:type="dxa" w:w="867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Medir y registrar el valor real; evitar registrar sólo “bien”.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5</w:t>
            </w:r>
          </w:p>
        </w:tc>
        <w:tc>
          <w:tcPr>
            <w:tcW w:type="dxa" w:w="867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Comparar nominal/tolerancia/valor y declarar conforme o NC.</w:t>
            </w:r>
          </w:p>
        </w:tc>
      </w:tr>
      <w:tr>
        <w:trPr>
          <w:cantSplit/>
        </w:trPr>
        <w:tc>
          <w:tcPr>
            <w:tcW w:type="dxa" w:w="850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6</w:t>
            </w:r>
          </w:p>
        </w:tc>
        <w:tc>
          <w:tcPr>
            <w:tcW w:type="dxa" w:w="867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Si la tolerancia es demasiado estrecha para un flexómetro, utilizar un instrumento de mayor resolución antes de decidir.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10. Inspección visual y estructural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1928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Característica</w:t>
            </w:r>
          </w:p>
        </w:tc>
        <w:tc>
          <w:tcPr>
            <w:tcW w:type="dxa" w:w="4706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Qué observar</w:t>
            </w:r>
          </w:p>
        </w:tc>
        <w:tc>
          <w:tcPr>
            <w:tcW w:type="dxa" w:w="2891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Acción base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Hongo</w:t>
            </w:r>
          </w:p>
        </w:tc>
        <w:tc>
          <w:tcPr>
            <w:tcW w:type="dxa" w:w="470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Presencia visible de crecimiento/mancha compatible con hongo.</w:t>
            </w:r>
          </w:p>
        </w:tc>
        <w:tc>
          <w:tcPr>
            <w:tcW w:type="dxa" w:w="289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Retener y registrar HNG-01.</w:t>
            </w:r>
          </w:p>
        </w:tc>
      </w:tr>
      <w:tr>
        <w:trPr>
          <w:cantSplit/>
        </w:trPr>
        <w:tc>
          <w:tcPr>
            <w:tcW w:type="dxa" w:w="192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Nudos / ojos</w:t>
            </w:r>
          </w:p>
        </w:tc>
        <w:tc>
          <w:tcPr>
            <w:tcW w:type="dxa" w:w="470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Desprendibilidad, ubicación y efecto estructural; aplicar criterio del cliente.</w:t>
            </w:r>
          </w:p>
        </w:tc>
        <w:tc>
          <w:tcPr>
            <w:tcW w:type="dxa" w:w="289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NUD-01/NUD-02 según caso.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Corteza</w:t>
            </w:r>
          </w:p>
        </w:tc>
        <w:tc>
          <w:tcPr>
            <w:tcW w:type="dxa" w:w="470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Presencia y condición conforme a requisito específico.</w:t>
            </w:r>
          </w:p>
        </w:tc>
        <w:tc>
          <w:tcPr>
            <w:tcW w:type="dxa" w:w="289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COR-01 si excede criterio aplicable.</w:t>
            </w:r>
          </w:p>
        </w:tc>
      </w:tr>
      <w:tr>
        <w:trPr>
          <w:cantSplit/>
        </w:trPr>
        <w:tc>
          <w:tcPr>
            <w:tcW w:type="dxa" w:w="192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Deformación</w:t>
            </w:r>
          </w:p>
        </w:tc>
        <w:tc>
          <w:tcPr>
            <w:tcW w:type="dxa" w:w="470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Curvatura/alabeo que afecte función o estructura.</w:t>
            </w:r>
          </w:p>
        </w:tc>
        <w:tc>
          <w:tcPr>
            <w:tcW w:type="dxa" w:w="289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DEF-01 si afecta función; DEF-02 si es meramente estética y permitida.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Integridad</w:t>
            </w:r>
          </w:p>
        </w:tc>
        <w:tc>
          <w:tcPr>
            <w:tcW w:type="dxa" w:w="470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Tablas/tacos/componentes rotos, agrietados o dañados.</w:t>
            </w:r>
          </w:p>
        </w:tc>
        <w:tc>
          <w:tcPr>
            <w:tcW w:type="dxa" w:w="289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ROT-01; valorar severidad según función.</w:t>
            </w:r>
          </w:p>
        </w:tc>
      </w:tr>
      <w:tr>
        <w:trPr>
          <w:cantSplit/>
        </w:trPr>
        <w:tc>
          <w:tcPr>
            <w:tcW w:type="dxa" w:w="192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Componentes</w:t>
            </w:r>
          </w:p>
        </w:tc>
        <w:tc>
          <w:tcPr>
            <w:tcW w:type="dxa" w:w="470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Cantidad, tipo y ubicación respecto al plano.</w:t>
            </w:r>
          </w:p>
        </w:tc>
        <w:tc>
          <w:tcPr>
            <w:tcW w:type="dxa" w:w="289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COM-01.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Fijaciones</w:t>
            </w:r>
          </w:p>
        </w:tc>
        <w:tc>
          <w:tcPr>
            <w:tcW w:type="dxa" w:w="470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Cantidad, posición y condición de clavos/grapas.</w:t>
            </w:r>
          </w:p>
        </w:tc>
        <w:tc>
          <w:tcPr>
            <w:tcW w:type="dxa" w:w="289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FIJ-01 / FIJ-02.</w:t>
            </w:r>
          </w:p>
        </w:tc>
      </w:tr>
      <w:tr>
        <w:trPr>
          <w:cantSplit/>
        </w:trPr>
        <w:tc>
          <w:tcPr>
            <w:tcW w:type="dxa" w:w="192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Limpieza</w:t>
            </w:r>
          </w:p>
        </w:tc>
        <w:tc>
          <w:tcPr>
            <w:tcW w:type="dxa" w:w="470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Condición superficial y residuos.</w:t>
            </w:r>
          </w:p>
        </w:tc>
        <w:tc>
          <w:tcPr>
            <w:tcW w:type="dxa" w:w="289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LIM-01 según requisito.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11. Tratamiento térmico y marca fitosanitaria</w:t>
      </w:r>
    </w:p>
    <w:p>
      <w:r>
        <w:rPr>
          <w:rFonts w:ascii="Arial" w:hAnsi="Arial" w:eastAsia="Arial" w:cs="Arial"/>
        </w:rPr>
        <w:t>Cuando el producto se destina al comercio internacional y queda dentro del campo de aplicación de NOM-144-SEMARNAT-2017, CAMPAR realiza una verificación documental y visual previa a la liberación. La aplicación del tratamiento y el uso de la Marca corresponden al proveedor autorizado; CAMPAR verifica la evidencia disponible y evita liberar producto con requisitos fitosanitarios incompletos.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2665"/>
            <w:shd w:fill="4B2E1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860"/>
            <w:shd w:fill="4B2E1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Criterio</w:t>
            </w:r>
          </w:p>
        </w:tc>
      </w:tr>
      <w:tr>
        <w:trPr>
          <w:cantSplit/>
        </w:trPr>
        <w:tc>
          <w:tcPr>
            <w:tcW w:type="dxa" w:w="4904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Aplicabilidad</w:t>
            </w:r>
          </w:p>
        </w:tc>
        <w:tc>
          <w:tcPr>
            <w:tcW w:type="dxa" w:w="4904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NOM-144-SEMARNAT-2017 se controla cuando el embalaje de madera se utiliza en comercio internacional. Para producto nacional, sólo se aplica si existe otro requisito que lo haga obligatorio.</w:t>
            </w:r>
          </w:p>
        </w:tc>
      </w:tr>
      <w:tr>
        <w:trPr>
          <w:cantSplit/>
        </w:trPr>
        <w:tc>
          <w:tcPr>
            <w:tcW w:type="dxa" w:w="4904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Madera descortezada</w:t>
            </w:r>
          </w:p>
        </w:tc>
        <w:tc>
          <w:tcPr>
            <w:tcW w:type="dxa" w:w="4904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Para producto sujeto a NOM-144, verificar visualmente que la madera esté descortezada. La Norma permite pequeños restos de corteza bajo límites definidos; si el cliente establece un criterio más estricto, prevalece el requisito del cliente.</w:t>
            </w:r>
          </w:p>
        </w:tc>
      </w:tr>
      <w:tr>
        <w:trPr>
          <w:cantSplit/>
        </w:trPr>
        <w:tc>
          <w:tcPr>
            <w:tcW w:type="dxa" w:w="4904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Constancia de tratamiento</w:t>
            </w:r>
          </w:p>
        </w:tc>
        <w:tc>
          <w:tcPr>
            <w:tcW w:type="dxa" w:w="4904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Debe vincularse al lote/viaje cuando aplique. CAMPAR verifica identificación, tratamiento, fecha/ciclo y documentación asociada; la constancia es la evidencia del tratamiento, no la humedad del producto.</w:t>
            </w:r>
          </w:p>
        </w:tc>
      </w:tr>
      <w:tr>
        <w:trPr>
          <w:cantSplit/>
        </w:trPr>
        <w:tc>
          <w:tcPr>
            <w:tcW w:type="dxa" w:w="4904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Tratamiento HT - verificación documental</w:t>
            </w:r>
          </w:p>
        </w:tc>
        <w:tc>
          <w:tcPr>
            <w:tcW w:type="dxa" w:w="4904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La NOM establece para HT alcanzar al centro de la pieza de mayor espesor al menos 56 °C durante 30 minutos continuos. CAMPAR verifica documentalmente la constancia/gráfica disponible; no sustituye ni certifica el proceso del proveedor autorizado.</w:t>
            </w:r>
          </w:p>
        </w:tc>
      </w:tr>
      <w:tr>
        <w:trPr>
          <w:cantSplit/>
        </w:trPr>
        <w:tc>
          <w:tcPr>
            <w:tcW w:type="dxa" w:w="4904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Autorización del proveedor</w:t>
            </w:r>
          </w:p>
        </w:tc>
        <w:tc>
          <w:tcPr>
            <w:tcW w:type="dxa" w:w="4904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CAMPAR conserva evidencia de que el establecimiento que trata y marca está autorizado por SEMARNAT y controla el número de autorización aplicable.</w:t>
            </w:r>
          </w:p>
        </w:tc>
      </w:tr>
      <w:tr>
        <w:trPr>
          <w:cantSplit/>
        </w:trPr>
        <w:tc>
          <w:tcPr>
            <w:tcW w:type="dxa" w:w="4904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Contenido de la Marca</w:t>
            </w:r>
          </w:p>
        </w:tc>
        <w:tc>
          <w:tcPr>
            <w:tcW w:type="dxa" w:w="4904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Verificar símbolo IPPC, país (MX para exportación desde México), número único del autorizado y código del tratamiento (p. ej., HT). La información adicional debe quedar fuera de los bordes de la Marca.</w:t>
            </w:r>
          </w:p>
        </w:tc>
      </w:tr>
      <w:tr>
        <w:trPr>
          <w:cantSplit/>
        </w:trPr>
        <w:tc>
          <w:tcPr>
            <w:tcW w:type="dxa" w:w="4904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Colocación y condición de la Marca</w:t>
            </w:r>
          </w:p>
        </w:tc>
        <w:tc>
          <w:tcPr>
            <w:tcW w:type="dxa" w:w="4904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Debe ser visible, legible y permanente, aparecer al menos en dos lados opuestos; no se aceptan etiquetas o calcomanías como Marca. No debe emplearse rojo o anaranjado para la Marca.</w:t>
            </w:r>
          </w:p>
        </w:tc>
      </w:tr>
      <w:tr>
        <w:trPr>
          <w:cantSplit/>
        </w:trPr>
        <w:tc>
          <w:tcPr>
            <w:tcW w:type="dxa" w:w="4904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Verificación CAMPAR</w:t>
            </w:r>
          </w:p>
        </w:tc>
        <w:tc>
          <w:tcPr>
            <w:tcW w:type="dxa" w:w="4904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CAMPAR adopta verificación visual 100 % de la Marca cuando sea obligatoria. Esta frecuencia es un control interno preventivo, no una frecuencia impuesta por la NOM.</w:t>
            </w:r>
          </w:p>
        </w:tc>
      </w:tr>
      <w:tr>
        <w:trPr>
          <w:cantSplit/>
        </w:trPr>
        <w:tc>
          <w:tcPr>
            <w:tcW w:type="dxa" w:w="4904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Marca ausente / incorrecta</w:t>
            </w:r>
          </w:p>
        </w:tc>
        <w:tc>
          <w:tcPr>
            <w:tcW w:type="dxa" w:w="4904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Registrar MAR-01 y retener el producto cuando la Marca sea obligatoria, hasta aclaración/corrección conforme a requisitos aplicables.</w:t>
            </w:r>
          </w:p>
        </w:tc>
      </w:tr>
      <w:tr>
        <w:trPr>
          <w:cantSplit/>
        </w:trPr>
        <w:tc>
          <w:tcPr>
            <w:tcW w:type="dxa" w:w="4904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Humedad</w:t>
            </w:r>
          </w:p>
        </w:tc>
        <w:tc>
          <w:tcPr>
            <w:tcW w:type="dxa" w:w="4904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Se controla como característica independiente del producto; un valor de humedad no demuestra por sí solo que el tratamiento HT fue realizado conforme.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12. Catálogo y clasificación de defectos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1531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5556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Condición</w:t>
            </w:r>
          </w:p>
        </w:tc>
        <w:tc>
          <w:tcPr>
            <w:tcW w:type="dxa" w:w="2438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Severidad base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HUM-01</w:t>
            </w:r>
          </w:p>
        </w:tc>
        <w:tc>
          <w:tcPr>
            <w:tcW w:type="dxa" w:w="55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Humedad superior al máximo aplicable</w:t>
            </w:r>
          </w:p>
        </w:tc>
        <w:tc>
          <w:tcPr>
            <w:tcW w:type="dxa" w:w="243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Crítica CAMPAR</w:t>
            </w:r>
          </w:p>
        </w:tc>
      </w:tr>
      <w:tr>
        <w:trPr>
          <w:cantSplit/>
        </w:trPr>
        <w:tc>
          <w:tcPr>
            <w:tcW w:type="dxa" w:w="153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HNG-01</w:t>
            </w:r>
          </w:p>
        </w:tc>
        <w:tc>
          <w:tcPr>
            <w:tcW w:type="dxa" w:w="555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Hongo</w:t>
            </w:r>
          </w:p>
        </w:tc>
        <w:tc>
          <w:tcPr>
            <w:tcW w:type="dxa" w:w="243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Crítica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NUD-01</w:t>
            </w:r>
          </w:p>
        </w:tc>
        <w:tc>
          <w:tcPr>
            <w:tcW w:type="dxa" w:w="55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Ojo/nudo desprendible</w:t>
            </w:r>
          </w:p>
        </w:tc>
        <w:tc>
          <w:tcPr>
            <w:tcW w:type="dxa" w:w="243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Según cliente; crítico donde se documente</w:t>
            </w:r>
          </w:p>
        </w:tc>
      </w:tr>
      <w:tr>
        <w:trPr>
          <w:cantSplit/>
        </w:trPr>
        <w:tc>
          <w:tcPr>
            <w:tcW w:type="dxa" w:w="153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NUD-02</w:t>
            </w:r>
          </w:p>
        </w:tc>
        <w:tc>
          <w:tcPr>
            <w:tcW w:type="dxa" w:w="555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Ojo/nudo estable</w:t>
            </w:r>
          </w:p>
        </w:tc>
        <w:tc>
          <w:tcPr>
            <w:tcW w:type="dxa" w:w="243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Variable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COR-01</w:t>
            </w:r>
          </w:p>
        </w:tc>
        <w:tc>
          <w:tcPr>
            <w:tcW w:type="dxa" w:w="55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Corteza fuera de criterio</w:t>
            </w:r>
          </w:p>
        </w:tc>
        <w:tc>
          <w:tcPr>
            <w:tcW w:type="dxa" w:w="243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Mayor / cliente</w:t>
            </w:r>
          </w:p>
        </w:tc>
      </w:tr>
      <w:tr>
        <w:trPr>
          <w:cantSplit/>
        </w:trPr>
        <w:tc>
          <w:tcPr>
            <w:tcW w:type="dxa" w:w="153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DIM-01</w:t>
            </w:r>
          </w:p>
        </w:tc>
        <w:tc>
          <w:tcPr>
            <w:tcW w:type="dxa" w:w="555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Dimensión fuera de tolerancia</w:t>
            </w:r>
          </w:p>
        </w:tc>
        <w:tc>
          <w:tcPr>
            <w:tcW w:type="dxa" w:w="243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Mayor*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COM-01</w:t>
            </w:r>
          </w:p>
        </w:tc>
        <w:tc>
          <w:tcPr>
            <w:tcW w:type="dxa" w:w="55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Componente faltante/incorrecto</w:t>
            </w:r>
          </w:p>
        </w:tc>
        <w:tc>
          <w:tcPr>
            <w:tcW w:type="dxa" w:w="243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Mayor*</w:t>
            </w:r>
          </w:p>
        </w:tc>
      </w:tr>
      <w:tr>
        <w:trPr>
          <w:cantSplit/>
        </w:trPr>
        <w:tc>
          <w:tcPr>
            <w:tcW w:type="dxa" w:w="153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FIJ-01</w:t>
            </w:r>
          </w:p>
        </w:tc>
        <w:tc>
          <w:tcPr>
            <w:tcW w:type="dxa" w:w="555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Fijación faltante/incorrecta</w:t>
            </w:r>
          </w:p>
        </w:tc>
        <w:tc>
          <w:tcPr>
            <w:tcW w:type="dxa" w:w="243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Mayor*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FIJ-02</w:t>
            </w:r>
          </w:p>
        </w:tc>
        <w:tc>
          <w:tcPr>
            <w:tcW w:type="dxa" w:w="55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Fijación que compromete estructura</w:t>
            </w:r>
          </w:p>
        </w:tc>
        <w:tc>
          <w:tcPr>
            <w:tcW w:type="dxa" w:w="243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Crítica</w:t>
            </w:r>
          </w:p>
        </w:tc>
      </w:tr>
      <w:tr>
        <w:trPr>
          <w:cantSplit/>
        </w:trPr>
        <w:tc>
          <w:tcPr>
            <w:tcW w:type="dxa" w:w="153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DEF-01</w:t>
            </w:r>
          </w:p>
        </w:tc>
        <w:tc>
          <w:tcPr>
            <w:tcW w:type="dxa" w:w="555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Deformación que afecta función/estructura</w:t>
            </w:r>
          </w:p>
        </w:tc>
        <w:tc>
          <w:tcPr>
            <w:tcW w:type="dxa" w:w="243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Crítica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ROT-01</w:t>
            </w:r>
          </w:p>
        </w:tc>
        <w:tc>
          <w:tcPr>
            <w:tcW w:type="dxa" w:w="55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Componente roto</w:t>
            </w:r>
          </w:p>
        </w:tc>
        <w:tc>
          <w:tcPr>
            <w:tcW w:type="dxa" w:w="243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Mayor / crítica*</w:t>
            </w:r>
          </w:p>
        </w:tc>
      </w:tr>
      <w:tr>
        <w:trPr>
          <w:cantSplit/>
        </w:trPr>
        <w:tc>
          <w:tcPr>
            <w:tcW w:type="dxa" w:w="153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LIM-01</w:t>
            </w:r>
          </w:p>
        </w:tc>
        <w:tc>
          <w:tcPr>
            <w:tcW w:type="dxa" w:w="555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Limpieza insuficiente</w:t>
            </w:r>
          </w:p>
        </w:tc>
        <w:tc>
          <w:tcPr>
            <w:tcW w:type="dxa" w:w="243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Mayor / cliente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MAR-01</w:t>
            </w:r>
          </w:p>
        </w:tc>
        <w:tc>
          <w:tcPr>
            <w:tcW w:type="dxa" w:w="55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Marca fitosanitaria requerida ausente/incorrecta</w:t>
            </w:r>
          </w:p>
        </w:tc>
        <w:tc>
          <w:tcPr>
            <w:tcW w:type="dxa" w:w="243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Crítica</w:t>
            </w:r>
          </w:p>
        </w:tc>
      </w:tr>
    </w:tbl>
    <w:p/>
    <w:p>
      <w:r>
        <w:rPr>
          <w:rFonts w:ascii="Arial" w:hAnsi="Arial" w:eastAsia="Arial" w:cs="Arial"/>
        </w:rPr>
        <w:t>* La severidad puede escalar cuando exista afectación funcional, estructural o un requisito más estricto del cliente.</w:t>
      </w:r>
    </w:p>
    <w:p>
      <w:pPr>
        <w:pStyle w:val="Heading1"/>
      </w:pPr>
      <w:r>
        <w:rPr>
          <w:rFonts w:ascii="Arial" w:hAnsi="Arial" w:eastAsia="Arial" w:cs="Arial"/>
        </w:rPr>
        <w:t>13. Decisión de inspección y liberación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2948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6576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Significado / siguiente paso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PENDIENTE DE INSPECCIÓN</w:t>
            </w:r>
          </w:p>
        </w:tc>
        <w:tc>
          <w:tcPr>
            <w:tcW w:type="dxa" w:w="6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Producto terminado presentado a CAMPAR.</w:t>
            </w:r>
          </w:p>
        </w:tc>
      </w:tr>
      <w:tr>
        <w:trPr>
          <w:cantSplit/>
        </w:trPr>
        <w:tc>
          <w:tcPr>
            <w:tcW w:type="dxa" w:w="294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EN INSPECCIÓN</w:t>
            </w:r>
          </w:p>
        </w:tc>
        <w:tc>
          <w:tcPr>
            <w:tcW w:type="dxa" w:w="657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Se está ejecutando la evaluación.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CONFORME / PENDIENTE DE LIBERACIÓN</w:t>
            </w:r>
          </w:p>
        </w:tc>
        <w:tc>
          <w:tcPr>
            <w:tcW w:type="dxa" w:w="6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Inspección favorable, aún sin autorización final.</w:t>
            </w:r>
          </w:p>
        </w:tc>
      </w:tr>
      <w:tr>
        <w:trPr>
          <w:cantSplit/>
        </w:trPr>
        <w:tc>
          <w:tcPr>
            <w:tcW w:type="dxa" w:w="294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RETENIDO / NC</w:t>
            </w:r>
          </w:p>
        </w:tc>
        <w:tc>
          <w:tcPr>
            <w:tcW w:type="dxa" w:w="657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No utilizar ni cargar. Aplicar segregación y PO-06.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EN RETRABAJO</w:t>
            </w:r>
          </w:p>
        </w:tc>
        <w:tc>
          <w:tcPr>
            <w:tcW w:type="dxa" w:w="6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Proveedor ejecuta corrección.</w:t>
            </w:r>
          </w:p>
        </w:tc>
      </w:tr>
      <w:tr>
        <w:trPr>
          <w:cantSplit/>
        </w:trPr>
        <w:tc>
          <w:tcPr>
            <w:tcW w:type="dxa" w:w="294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PENDIENTE DE REINSPECCIÓN</w:t>
            </w:r>
          </w:p>
        </w:tc>
        <w:tc>
          <w:tcPr>
            <w:tcW w:type="dxa" w:w="657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Retrabajo terminado, CAMPAR aún no confirma.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LIBERADO</w:t>
            </w:r>
          </w:p>
        </w:tc>
        <w:tc>
          <w:tcPr>
            <w:tcW w:type="dxa" w:w="6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Autoridad designada autorizó el producto.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tblHeader w:val="true"/>
          <w:cantSplit/>
        </w:trPr>
        <w:tc>
          <w:tcPr>
            <w:tcW w:type="dxa" w:w="9808"/>
            <w:shd w:fill="EAF4EA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10" w:color="1F6E2A"/>
              <w:left w:val="single" w:sz="18" w:color="1F6E2A"/>
              <w:bottom w:val="single" w:sz="10" w:color="1F6E2A"/>
              <w:right w:val="single" w:sz="10" w:color="1F6E2A"/>
            </w:tcBorders>
          </w:tcPr>
          <w:p>
            <w:r>
              <w:rPr>
                <w:rFonts w:ascii="Arial" w:hAnsi="Arial" w:eastAsia="Arial" w:cs="Arial"/>
                <w:b/>
                <w:color w:val="1F6E2A"/>
                <w:sz w:val="20"/>
              </w:rPr>
              <w:t xml:space="preserve">Separación de funciones:  </w:t>
            </w:r>
            <w:r>
              <w:rPr>
                <w:rFonts w:ascii="Arial" w:hAnsi="Arial" w:eastAsia="Arial" w:cs="Arial"/>
                <w:color w:val="20252B"/>
                <w:sz w:val="19"/>
              </w:rPr>
              <w:t>Ian/Cris pueden inspeccionar o reinspeccionar dentro de su competencia, pero la liberación actual permanece en Gustavo/Alessandri.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14. Segregación, retrabajo y reinspección</w:t>
      </w:r>
    </w:p>
    <w:p>
      <w:pPr>
        <w:pStyle w:val="ListBullet"/>
      </w:pPr>
      <w:r>
        <w:rPr>
          <w:rFonts w:ascii="Arial" w:hAnsi="Arial" w:eastAsia="Arial" w:cs="Arial"/>
        </w:rPr>
        <w:t>La segregación combina identificación física y estado registrado; la marca física por sí sola no constituye trazabilidad suficiente.</w:t>
      </w:r>
    </w:p>
    <w:p>
      <w:pPr>
        <w:pStyle w:val="ListBullet"/>
      </w:pPr>
      <w:r>
        <w:rPr>
          <w:rFonts w:ascii="Arial" w:hAnsi="Arial" w:eastAsia="Arial" w:cs="Arial"/>
        </w:rPr>
        <w:t>Producto RETENIDO, EN RETRABAJO o PENDIENTE DE REINSPECCIÓN no puede cargarse.</w:t>
      </w:r>
    </w:p>
    <w:p>
      <w:pPr>
        <w:pStyle w:val="ListBullet"/>
      </w:pPr>
      <w:r>
        <w:rPr>
          <w:rFonts w:ascii="Arial" w:hAnsi="Arial" w:eastAsia="Arial" w:cs="Arial"/>
        </w:rPr>
        <w:t>El proveedor puede avisar por WhatsApp que el retrabajo terminó, pero el estado pasa únicamente a PENDIENTE DE REINSPECCIÓN.</w:t>
      </w:r>
    </w:p>
    <w:p>
      <w:pPr>
        <w:pStyle w:val="ListBullet"/>
      </w:pPr>
      <w:r>
        <w:rPr>
          <w:rFonts w:ascii="Arial" w:hAnsi="Arial" w:eastAsia="Arial" w:cs="Arial"/>
        </w:rPr>
        <w:t>La reinspección verifica la característica corregida y que la corrección no haya generado otra condición evidente de incumplimiento.</w:t>
      </w:r>
    </w:p>
    <w:p>
      <w:pPr>
        <w:pStyle w:val="ListBullet"/>
      </w:pPr>
      <w:r>
        <w:rPr>
          <w:rFonts w:ascii="Arial" w:hAnsi="Arial" w:eastAsia="Arial" w:cs="Arial"/>
        </w:rPr>
        <w:t>PO-03 libera el producto; PO-06 cierra el incidente. Son decisiones diferentes.</w:t>
      </w:r>
    </w:p>
    <w:p>
      <w:pPr>
        <w:pStyle w:val="Heading1"/>
      </w:pPr>
      <w:r>
        <w:rPr>
          <w:rFonts w:ascii="Arial" w:hAnsi="Arial" w:eastAsia="Arial" w:cs="Arial"/>
        </w:rPr>
        <w:t>15. No conformidades y rechazos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1304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4082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Uso</w:t>
            </w:r>
          </w:p>
        </w:tc>
        <w:tc>
          <w:tcPr>
            <w:tcW w:type="dxa" w:w="4139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Tratamiento mínimo</w:t>
            </w:r>
          </w:p>
        </w:tc>
      </w:tr>
      <w:tr>
        <w:trPr>
          <w:cantSplit/>
        </w:trPr>
        <w:tc>
          <w:tcPr>
            <w:tcW w:type="dxa" w:w="1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N1</w:t>
            </w:r>
          </w:p>
        </w:tc>
        <w:tc>
          <w:tcPr>
            <w:tcW w:type="dxa" w:w="40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Incidente aislado, contenido y corregible sin impacto sistémico.</w:t>
            </w:r>
          </w:p>
        </w:tc>
        <w:tc>
          <w:tcPr>
            <w:tcW w:type="dxa" w:w="413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Corrección + reinspección + cierre.</w:t>
            </w:r>
          </w:p>
        </w:tc>
      </w:tr>
      <w:tr>
        <w:trPr>
          <w:cantSplit/>
        </w:trPr>
        <w:tc>
          <w:tcPr>
            <w:tcW w:type="dxa" w:w="130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N2</w:t>
            </w:r>
          </w:p>
        </w:tc>
        <w:tc>
          <w:tcPr>
            <w:tcW w:type="dxa" w:w="4082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Rechazo parcial, recurrencia, escape o patrón relevante.</w:t>
            </w:r>
          </w:p>
        </w:tc>
        <w:tc>
          <w:tcPr>
            <w:tcW w:type="dxa" w:w="4139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Contención + causa + acción + seguimiento.</w:t>
            </w:r>
          </w:p>
        </w:tc>
      </w:tr>
      <w:tr>
        <w:trPr>
          <w:cantSplit/>
        </w:trPr>
        <w:tc>
          <w:tcPr>
            <w:tcW w:type="dxa" w:w="13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N3</w:t>
            </w:r>
          </w:p>
        </w:tc>
        <w:tc>
          <w:tcPr>
            <w:tcW w:type="dxa" w:w="40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Rechazo total, reincidencia crítica, fitosanitario o fallo sistémico.</w:t>
            </w:r>
          </w:p>
        </w:tc>
        <w:tc>
          <w:tcPr>
            <w:tcW w:type="dxa" w:w="413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6"/>
              </w:rPr>
              <w:t>Acción correctiva formal + eficacia + escalamiento.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tblHeader w:val="true"/>
          <w:cantSplit/>
        </w:trPr>
        <w:tc>
          <w:tcPr>
            <w:tcW w:type="dxa" w:w="9808"/>
            <w:shd w:fill="FFF4DE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10" w:color="B47B20"/>
              <w:left w:val="single" w:sz="18" w:color="B47B20"/>
              <w:bottom w:val="single" w:sz="10" w:color="B47B20"/>
              <w:right w:val="single" w:sz="10" w:color="B47B20"/>
            </w:tcBorders>
          </w:tcPr>
          <w:p>
            <w:r>
              <w:rPr>
                <w:rFonts w:ascii="Arial" w:hAnsi="Arial" w:eastAsia="Arial" w:cs="Arial"/>
                <w:b/>
                <w:color w:val="B47B20"/>
                <w:sz w:val="20"/>
              </w:rPr>
              <w:t xml:space="preserve">No confundir:  </w:t>
            </w:r>
            <w:r>
              <w:rPr>
                <w:rFonts w:ascii="Arial" w:hAnsi="Arial" w:eastAsia="Arial" w:cs="Arial"/>
                <w:color w:val="20252B"/>
                <w:sz w:val="19"/>
              </w:rPr>
              <w:t>La severidad del defecto (Crítico/Mayor/Menor) y el nivel del incidente (N1/N2/N3) son conceptos distintos. Un defecto crítico aislado detectado internamente no convierte automáticamente el caso en N3.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16. Carga, entrega y recepción</w:t>
      </w:r>
    </w:p>
    <w:p>
      <w:pPr>
        <w:pStyle w:val="ListBullet"/>
      </w:pPr>
      <w:r>
        <w:rPr>
          <w:rFonts w:ascii="Arial" w:hAnsi="Arial" w:eastAsia="Arial" w:cs="Arial"/>
        </w:rPr>
        <w:t>Sólo producto LIBERADO y asociado a una necesidad de entrega puede seleccionarse para carga.</w:t>
      </w:r>
    </w:p>
    <w:p>
      <w:pPr>
        <w:pStyle w:val="ListBullet"/>
      </w:pPr>
      <w:r>
        <w:rPr>
          <w:rFonts w:ascii="Arial" w:hAnsi="Arial" w:eastAsia="Arial" w:cs="Arial"/>
        </w:rPr>
        <w:t>La cantidad programada no se considera automáticamente cargada; se confirma la cantidad real, especialmente en estibas parciales.</w:t>
      </w:r>
    </w:p>
    <w:p>
      <w:pPr>
        <w:pStyle w:val="ListBullet"/>
      </w:pPr>
      <w:r>
        <w:rPr>
          <w:rFonts w:ascii="Arial" w:hAnsi="Arial" w:eastAsia="Arial" w:cs="Arial"/>
        </w:rPr>
        <w:t>Factura, constancia HT, certificado CAMPAR, remisión y recepción pueden integrar el paquete documental sin duplicar información.</w:t>
      </w:r>
    </w:p>
    <w:p>
      <w:pPr>
        <w:pStyle w:val="ListBullet"/>
      </w:pPr>
      <w:r>
        <w:rPr>
          <w:rFonts w:ascii="Arial" w:hAnsi="Arial" w:eastAsia="Arial" w:cs="Arial"/>
        </w:rPr>
        <w:t>La remisión actual se revisará en la primera entrega piloto antes de crear un manifiesto adicional.</w:t>
      </w:r>
    </w:p>
    <w:p>
      <w:pPr>
        <w:pStyle w:val="ListBullet"/>
      </w:pPr>
      <w:r>
        <w:rPr>
          <w:rFonts w:ascii="Arial" w:hAnsi="Arial" w:eastAsia="Arial" w:cs="Arial"/>
        </w:rPr>
        <w:t>Si planta rechaza producto, se conserva la evidencia externa y PO-06 gestiona el incidente.</w:t>
      </w:r>
    </w:p>
    <w:p>
      <w:r>
        <w:rPr>
          <w:rFonts w:ascii="Arial" w:hAnsi="Arial" w:eastAsia="Arial" w:cs="Arial"/>
        </w:rPr>
        <w:t>La garantía interna CAMPAR contra hongo se controla por 8 días desde la fecha documentada de recepción en planta, salvo que se formalice contractualmente otro punto de inicio.</w:t>
      </w:r>
    </w:p>
    <w:p>
      <w:r>
        <w:rPr>
          <w:rFonts w:ascii="Arial" w:hAnsi="Arial" w:eastAsia="Arial" w:cs="Arial"/>
        </w:rPr>
        <w:t>La aplicación de Biotox se registra como tratamiento adicional cuando corresponda; no se considera requisito obligatorio del SGC salvo requisito específico del cliente.</w:t>
      </w:r>
    </w:p>
    <w:p>
      <w:pPr>
        <w:pStyle w:val="Heading1"/>
      </w:pPr>
      <w:r>
        <w:rPr>
          <w:rFonts w:ascii="Arial" w:hAnsi="Arial" w:eastAsia="Arial" w:cs="Arial"/>
        </w:rPr>
        <w:t>17. Registros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2948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Registro / evidencia</w:t>
            </w:r>
          </w:p>
        </w:tc>
        <w:tc>
          <w:tcPr>
            <w:tcW w:type="dxa" w:w="6576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Función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FR-PO01-01</w:t>
            </w:r>
          </w:p>
        </w:tc>
        <w:tc>
          <w:tcPr>
            <w:tcW w:type="dxa" w:w="6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OC y partidas.</w:t>
            </w:r>
          </w:p>
        </w:tc>
      </w:tr>
      <w:tr>
        <w:trPr>
          <w:cantSplit/>
        </w:trPr>
        <w:tc>
          <w:tcPr>
            <w:tcW w:type="dxa" w:w="294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FR-PO02-01</w:t>
            </w:r>
          </w:p>
        </w:tc>
        <w:tc>
          <w:tcPr>
            <w:tcW w:type="dxa" w:w="657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Asignación y seguimiento de producción.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FR-PO03-01</w:t>
            </w:r>
          </w:p>
        </w:tc>
        <w:tc>
          <w:tcPr>
            <w:tcW w:type="dxa" w:w="6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Inspección, muestra, mediciones y liberación.</w:t>
            </w:r>
          </w:p>
        </w:tc>
      </w:tr>
      <w:tr>
        <w:trPr>
          <w:cantSplit/>
        </w:trPr>
        <w:tc>
          <w:tcPr>
            <w:tcW w:type="dxa" w:w="294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FR-PO04-01</w:t>
            </w:r>
          </w:p>
        </w:tc>
        <w:tc>
          <w:tcPr>
            <w:tcW w:type="dxa" w:w="657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Movimientos y estados de inventario.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FR-PO06-01</w:t>
            </w:r>
          </w:p>
        </w:tc>
        <w:tc>
          <w:tcPr>
            <w:tcW w:type="dxa" w:w="6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NC, retrabajo, causa, acción y eficacia.</w:t>
            </w:r>
          </w:p>
        </w:tc>
      </w:tr>
      <w:tr>
        <w:trPr>
          <w:cantSplit/>
        </w:trPr>
        <w:tc>
          <w:tcPr>
            <w:tcW w:type="dxa" w:w="294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FR-PS02-01</w:t>
            </w:r>
          </w:p>
        </w:tc>
        <w:tc>
          <w:tcPr>
            <w:tcW w:type="dxa" w:w="657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Verificación de equipos.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FR-PS03-01</w:t>
            </w:r>
          </w:p>
        </w:tc>
        <w:tc>
          <w:tcPr>
            <w:tcW w:type="dxa" w:w="6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Competencia y autorización.</w:t>
            </w:r>
          </w:p>
        </w:tc>
      </w:tr>
      <w:tr>
        <w:trPr>
          <w:cantSplit/>
        </w:trPr>
        <w:tc>
          <w:tcPr>
            <w:tcW w:type="dxa" w:w="294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Constancia HT / gráfica</w:t>
            </w:r>
          </w:p>
        </w:tc>
        <w:tc>
          <w:tcPr>
            <w:tcW w:type="dxa" w:w="657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Evidencia externa de tratamiento.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Rechazo de planta</w:t>
            </w:r>
          </w:p>
        </w:tc>
        <w:tc>
          <w:tcPr>
            <w:tcW w:type="dxa" w:w="6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Evidencia externa del cliente.</w:t>
            </w:r>
          </w:p>
        </w:tc>
      </w:tr>
      <w:tr>
        <w:trPr>
          <w:cantSplit/>
        </w:trPr>
        <w:tc>
          <w:tcPr>
            <w:tcW w:type="dxa" w:w="294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Remisión / factura / recepción</w:t>
            </w:r>
          </w:p>
        </w:tc>
        <w:tc>
          <w:tcPr>
            <w:tcW w:type="dxa" w:w="657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Trazabilidad logística y de entrega.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tblHeader w:val="true"/>
          <w:cantSplit/>
        </w:trPr>
        <w:tc>
          <w:tcPr>
            <w:tcW w:type="dxa" w:w="9808"/>
            <w:shd w:fill="EAF1F8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10" w:color="3B6A9A"/>
              <w:left w:val="single" w:sz="18" w:color="3B6A9A"/>
              <w:bottom w:val="single" w:sz="10" w:color="3B6A9A"/>
              <w:right w:val="single" w:sz="10" w:color="3B6A9A"/>
            </w:tcBorders>
          </w:tcPr>
          <w:p>
            <w:r>
              <w:rPr>
                <w:rFonts w:ascii="Arial" w:hAnsi="Arial" w:eastAsia="Arial" w:cs="Arial"/>
                <w:b/>
                <w:color w:val="3B6A9A"/>
                <w:sz w:val="20"/>
              </w:rPr>
              <w:t xml:space="preserve">Prueba de trazabilidad:  </w:t>
            </w:r>
            <w:r>
              <w:rPr>
                <w:rFonts w:ascii="Arial" w:hAnsi="Arial" w:eastAsia="Arial" w:cs="Arial"/>
                <w:color w:val="20252B"/>
                <w:sz w:val="19"/>
              </w:rPr>
              <w:t>A partir de una inspección o pieza identificada, CAMPAR debe poder reconstruir OC/partida, producto, plano, proveedor, inspector, equipo, liberación, tratamiento y entrega relacionada.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18. Checklist rápido para campo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1474"/>
            <w:shd w:fill="4B2E1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57"/>
            <w:shd w:fill="4B2E1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Verificación</w:t>
            </w:r>
          </w:p>
        </w:tc>
        <w:tc>
          <w:tcPr>
            <w:tcW w:type="dxa" w:w="794"/>
            <w:shd w:fill="4B2E1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ANTES</w:t>
            </w:r>
          </w:p>
        </w:tc>
        <w:tc>
          <w:tcPr>
            <w:tcW w:type="dxa" w:w="725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Código/producto identificado</w:t>
            </w:r>
          </w:p>
        </w:tc>
        <w:tc>
          <w:tcPr>
            <w:tcW w:type="dxa" w:w="79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147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ANTES</w:t>
            </w:r>
          </w:p>
        </w:tc>
        <w:tc>
          <w:tcPr>
            <w:tcW w:type="dxa" w:w="7257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Plano/revisión vigente</w:t>
            </w:r>
          </w:p>
        </w:tc>
        <w:tc>
          <w:tcPr>
            <w:tcW w:type="dxa" w:w="79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ANTES</w:t>
            </w:r>
          </w:p>
        </w:tc>
        <w:tc>
          <w:tcPr>
            <w:tcW w:type="dxa" w:w="725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Lote y cantidad conocidos</w:t>
            </w:r>
          </w:p>
        </w:tc>
        <w:tc>
          <w:tcPr>
            <w:tcW w:type="dxa" w:w="79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147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ANTES</w:t>
            </w:r>
          </w:p>
        </w:tc>
        <w:tc>
          <w:tcPr>
            <w:tcW w:type="dxa" w:w="7257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Equipo APTO</w:t>
            </w:r>
          </w:p>
        </w:tc>
        <w:tc>
          <w:tcPr>
            <w:tcW w:type="dxa" w:w="79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ANTES</w:t>
            </w:r>
          </w:p>
        </w:tc>
        <w:tc>
          <w:tcPr>
            <w:tcW w:type="dxa" w:w="725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Muestreo definido</w:t>
            </w:r>
          </w:p>
        </w:tc>
        <w:tc>
          <w:tcPr>
            <w:tcW w:type="dxa" w:w="79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147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DURANTE</w:t>
            </w:r>
          </w:p>
        </w:tc>
        <w:tc>
          <w:tcPr>
            <w:tcW w:type="dxa" w:w="7257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Humedad registrada</w:t>
            </w:r>
          </w:p>
        </w:tc>
        <w:tc>
          <w:tcPr>
            <w:tcW w:type="dxa" w:w="79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DURANTE</w:t>
            </w:r>
          </w:p>
        </w:tc>
        <w:tc>
          <w:tcPr>
            <w:tcW w:type="dxa" w:w="725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Dimensiones reales registradas</w:t>
            </w:r>
          </w:p>
        </w:tc>
        <w:tc>
          <w:tcPr>
            <w:tcW w:type="dxa" w:w="79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147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DURANTE</w:t>
            </w:r>
          </w:p>
        </w:tc>
        <w:tc>
          <w:tcPr>
            <w:tcW w:type="dxa" w:w="7257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Hongo/nudos/corteza/deformación revisados</w:t>
            </w:r>
          </w:p>
        </w:tc>
        <w:tc>
          <w:tcPr>
            <w:tcW w:type="dxa" w:w="79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DURANTE</w:t>
            </w:r>
          </w:p>
        </w:tc>
        <w:tc>
          <w:tcPr>
            <w:tcW w:type="dxa" w:w="725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Componentes y fijaciones revisados</w:t>
            </w:r>
          </w:p>
        </w:tc>
        <w:tc>
          <w:tcPr>
            <w:tcW w:type="dxa" w:w="79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147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DURANTE</w:t>
            </w:r>
          </w:p>
        </w:tc>
        <w:tc>
          <w:tcPr>
            <w:tcW w:type="dxa" w:w="7257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Marca/HT verificados cuando aplica</w:t>
            </w:r>
          </w:p>
        </w:tc>
        <w:tc>
          <w:tcPr>
            <w:tcW w:type="dxa" w:w="79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CIERRE</w:t>
            </w:r>
          </w:p>
        </w:tc>
        <w:tc>
          <w:tcPr>
            <w:tcW w:type="dxa" w:w="725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NC segregadas e identificadas</w:t>
            </w:r>
          </w:p>
        </w:tc>
        <w:tc>
          <w:tcPr>
            <w:tcW w:type="dxa" w:w="79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147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CIERRE</w:t>
            </w:r>
          </w:p>
        </w:tc>
        <w:tc>
          <w:tcPr>
            <w:tcW w:type="dxa" w:w="7257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Resultado documentado</w:t>
            </w:r>
          </w:p>
        </w:tc>
        <w:tc>
          <w:tcPr>
            <w:tcW w:type="dxa" w:w="79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CIERRE</w:t>
            </w:r>
          </w:p>
        </w:tc>
        <w:tc>
          <w:tcPr>
            <w:tcW w:type="dxa" w:w="725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Liberación autorizada</w:t>
            </w:r>
          </w:p>
        </w:tc>
        <w:tc>
          <w:tcPr>
            <w:tcW w:type="dxa" w:w="79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147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CIERRE</w:t>
            </w:r>
          </w:p>
        </w:tc>
        <w:tc>
          <w:tcPr>
            <w:tcW w:type="dxa" w:w="7257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Evidencias vinculadas</w:t>
            </w:r>
          </w:p>
        </w:tc>
        <w:tc>
          <w:tcPr>
            <w:tcW w:type="dxa" w:w="79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ANTES</w:t>
            </w:r>
          </w:p>
        </w:tc>
        <w:tc>
          <w:tcPr>
            <w:tcW w:type="dxa" w:w="725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Aplicabilidad NOM-144 determinada (si exportación/comercio internacional)</w:t>
            </w:r>
          </w:p>
        </w:tc>
        <w:tc>
          <w:tcPr>
            <w:tcW w:type="dxa" w:w="79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147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DURANTE</w:t>
            </w:r>
          </w:p>
        </w:tc>
        <w:tc>
          <w:tcPr>
            <w:tcW w:type="dxa" w:w="7257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Unidades correctas registradas (mm/cm, °C, %)</w:t>
            </w:r>
          </w:p>
        </w:tc>
        <w:tc>
          <w:tcPr>
            <w:tcW w:type="dxa" w:w="794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☐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DURANTE</w:t>
            </w:r>
          </w:p>
        </w:tc>
        <w:tc>
          <w:tcPr>
            <w:tcW w:type="dxa" w:w="725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Constancia/Marca/autorización verificadas cuando aplica NOM-144</w:t>
            </w:r>
          </w:p>
        </w:tc>
        <w:tc>
          <w:tcPr>
            <w:tcW w:type="dxa" w:w="79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 w:cs="Arial"/>
                <w:color w:val="20252B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☐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19. Criterios pendientes y gates de piloto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2948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6576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Momento de cierre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Especie de pino</w:t>
            </w:r>
          </w:p>
        </w:tc>
        <w:tc>
          <w:tcPr>
            <w:tcW w:type="dxa" w:w="6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Antes de usar configuración por especie del BDX-30.</w:t>
            </w:r>
          </w:p>
        </w:tc>
      </w:tr>
      <w:tr>
        <w:trPr>
          <w:cantSplit/>
        </w:trPr>
        <w:tc>
          <w:tcPr>
            <w:tcW w:type="dxa" w:w="294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MMD4E / BDX-30</w:t>
            </w:r>
          </w:p>
        </w:tc>
        <w:tc>
          <w:tcPr>
            <w:tcW w:type="dxa" w:w="657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Antes del primer uso formal; identificar serie y comprobar.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Flexómetros</w:t>
            </w:r>
          </w:p>
        </w:tc>
        <w:tc>
          <w:tcPr>
            <w:tcW w:type="dxa" w:w="6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Antes de medición dimensional formal; identificar y verificar.</w:t>
            </w:r>
          </w:p>
        </w:tc>
      </w:tr>
      <w:tr>
        <w:trPr>
          <w:cantSplit/>
        </w:trPr>
        <w:tc>
          <w:tcPr>
            <w:tcW w:type="dxa" w:w="294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Plano/revisión</w:t>
            </w:r>
          </w:p>
        </w:tc>
        <w:tc>
          <w:tcPr>
            <w:tcW w:type="dxa" w:w="657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Antes de inspeccionar cada primer producto del piloto.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Competencia</w:t>
            </w:r>
          </w:p>
        </w:tc>
        <w:tc>
          <w:tcPr>
            <w:tcW w:type="dxa" w:w="6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Gus/Aless durante Piloto 1; Ian/Cris antes de autonomía.</w:t>
            </w:r>
          </w:p>
        </w:tc>
      </w:tr>
      <w:tr>
        <w:trPr>
          <w:cantSplit/>
        </w:trPr>
        <w:tc>
          <w:tcPr>
            <w:tcW w:type="dxa" w:w="294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Ac/Re definitivo</w:t>
            </w:r>
          </w:p>
        </w:tc>
        <w:tc>
          <w:tcPr>
            <w:tcW w:type="dxa" w:w="657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Antes de sustituir la regla transitoria por el plan AQL completo.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Remisión</w:t>
            </w:r>
          </w:p>
        </w:tc>
        <w:tc>
          <w:tcPr>
            <w:tcW w:type="dxa" w:w="65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Primera entrega piloto.</w:t>
            </w:r>
          </w:p>
        </w:tc>
      </w:tr>
      <w:tr>
        <w:trPr>
          <w:cantSplit/>
        </w:trPr>
        <w:tc>
          <w:tcPr>
            <w:tcW w:type="dxa" w:w="294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Aprobación documental</w:t>
            </w:r>
          </w:p>
        </w:tc>
        <w:tc>
          <w:tcPr>
            <w:tcW w:type="dxa" w:w="657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Antes de cambiar documentos de EN REVISIÓN a VIGENTE.</w:t>
            </w:r>
          </w:p>
        </w:tc>
      </w:tr>
    </w:tbl>
    <w:p/>
    <w:p>
      <w:pPr>
        <w:pStyle w:val="Heading1"/>
      </w:pPr>
      <w:r>
        <w:rPr>
          <w:rFonts w:ascii="Arial" w:hAnsi="Arial" w:eastAsia="Arial" w:cs="Arial"/>
        </w:rPr>
        <w:t>20. Referencias y documentos relacionados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3456"/>
            <w:shd w:fill="4A2D1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Referencia</w:t>
            </w:r>
          </w:p>
        </w:tc>
        <w:tc>
          <w:tcPr>
            <w:tcW w:type="dxa" w:w="6048"/>
            <w:shd w:fill="4A2D1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PO-03</w:t>
            </w:r>
          </w:p>
        </w:tc>
        <w:tc>
          <w:tcPr>
            <w:tcW w:type="dxa" w:w="60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Inspección y liberación de producto.</w:t>
            </w:r>
          </w:p>
        </w:tc>
      </w:tr>
      <w:tr>
        <w:trPr>
          <w:cantSplit/>
        </w:trPr>
        <w:tc>
          <w:tcPr>
            <w:tcW w:type="dxa" w:w="3456"/>
            <w:shd w:fill="F3F0EB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PO-06</w:t>
            </w:r>
          </w:p>
        </w:tc>
        <w:tc>
          <w:tcPr>
            <w:tcW w:type="dxa" w:w="6048"/>
            <w:shd w:fill="F3F0EB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No conformidades y rechazos.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PS-02</w:t>
            </w:r>
          </w:p>
        </w:tc>
        <w:tc>
          <w:tcPr>
            <w:tcW w:type="dxa" w:w="60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Equipos de medición.</w:t>
            </w:r>
          </w:p>
        </w:tc>
      </w:tr>
      <w:tr>
        <w:trPr>
          <w:cantSplit/>
        </w:trPr>
        <w:tc>
          <w:tcPr>
            <w:tcW w:type="dxa" w:w="3456"/>
            <w:shd w:fill="F3F0EB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PS-03</w:t>
            </w:r>
          </w:p>
        </w:tc>
        <w:tc>
          <w:tcPr>
            <w:tcW w:type="dxa" w:w="6048"/>
            <w:shd w:fill="F3F0EB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Competencia y capacitación.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ANX-PO03-01</w:t>
            </w:r>
          </w:p>
        </w:tc>
        <w:tc>
          <w:tcPr>
            <w:tcW w:type="dxa" w:w="60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Plan de muestreo CAMPAR.</w:t>
            </w:r>
          </w:p>
        </w:tc>
      </w:tr>
      <w:tr>
        <w:trPr>
          <w:cantSplit/>
        </w:trPr>
        <w:tc>
          <w:tcPr>
            <w:tcW w:type="dxa" w:w="3456"/>
            <w:shd w:fill="F3F0EB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CAT-PO03-01</w:t>
            </w:r>
          </w:p>
        </w:tc>
        <w:tc>
          <w:tcPr>
            <w:tcW w:type="dxa" w:w="6048"/>
            <w:shd w:fill="F3F0EB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Catálogo de defectos.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IT-PS02-01</w:t>
            </w:r>
          </w:p>
        </w:tc>
        <w:tc>
          <w:tcPr>
            <w:tcW w:type="dxa" w:w="60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Método de medición de humedad.</w:t>
            </w:r>
          </w:p>
        </w:tc>
      </w:tr>
      <w:tr>
        <w:trPr>
          <w:cantSplit/>
        </w:trPr>
        <w:tc>
          <w:tcPr>
            <w:tcW w:type="dxa" w:w="3456"/>
            <w:shd w:fill="F3F0EB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NMX-Z-12/2-1987</w:t>
            </w:r>
          </w:p>
        </w:tc>
        <w:tc>
          <w:tcPr>
            <w:tcW w:type="dxa" w:w="6048"/>
            <w:shd w:fill="F3F0EB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Fuente controlada prevista para tablas de muestreo por atributos.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NOM-144-SEMARNAT-2017</w:t>
            </w:r>
          </w:p>
        </w:tc>
        <w:tc>
          <w:tcPr>
            <w:tcW w:type="dxa" w:w="60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Referencia legal/reglamentaria para embalaje de madera cuando aplica.</w:t>
            </w:r>
          </w:p>
        </w:tc>
      </w:tr>
      <w:tr>
        <w:trPr>
          <w:cantSplit/>
        </w:trPr>
        <w:tc>
          <w:tcPr>
            <w:tcW w:type="dxa" w:w="3456"/>
            <w:shd w:fill="F3F0EB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General Tools MMD4E - manual/ficha</w:t>
            </w:r>
          </w:p>
        </w:tc>
        <w:tc>
          <w:tcPr>
            <w:tcW w:type="dxa" w:w="6048"/>
            <w:shd w:fill="F3F0EB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Comprobación y características del equipo.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Delmhorst Navigator BDX-30 - manual/ficha</w:t>
            </w:r>
          </w:p>
        </w:tc>
        <w:tc>
          <w:tcPr>
            <w:tcW w:type="dxa" w:w="60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Configuración y comprobación del equipo.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ISO 9001:2026</w:t>
            </w:r>
          </w:p>
        </w:tc>
        <w:tc>
          <w:tcPr>
            <w:tcW w:type="dxa" w:w="6048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Marco del Sistema de Gestión de Calidad. La correspondencia exacta de requisitos se controla en MAT-SGC-02 y copia autorizada.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NOM-008-SE-2021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Sistema general de unidades de medida para expresar magnitudes de forma coherente en registros.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ISO 2859-1:2026</w:t>
            </w:r>
          </w:p>
        </w:tc>
        <w:tc>
          <w:tcPr>
            <w:tcW w:type="dxa" w:w="6048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Referencia internacional complementaria; no se mezclan sus tablas con NMX-Z-12/2-1987 en el plan CAMPAR.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Registro SEMARNAT de personas autorizadas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Verificación de autorización para uso de la Marca cuando aplique NOM-144.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NMX-Z-12/2-1987, apartados 9 a 12 y Tabla I</w:t>
            </w:r>
          </w:p>
        </w:tc>
        <w:tc>
          <w:tcPr>
            <w:tcW w:type="dxa" w:w="6048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Base para selección aleatoria, niveles de inspección, letra clave, tamaño de muestra y aceptación/rechazo.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DOF - tabla resumen de aplicación de NMX-Z-12/2-1987 Nivel II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Cotejo público de tamaños de muestra para lotes de 2 a 35 000 unidades.</w:t>
            </w:r>
          </w:p>
        </w:tc>
      </w:tr>
    </w:tbl>
    <w:p/>
    <w:p>
      <w:pPr/>
      <w:r>
        <w:rPr>
          <w:rFonts w:ascii="Arial" w:hAnsi="Arial" w:eastAsia="Arial" w:cs="Arial"/>
        </w:rPr>
        <w:t>Fuentes web de referencia verificadas: https://www.iso.org/es/norma/9001 | https://platiica.economia.gob.mx/normalizacion/nmx-z-12-2-1987/ | https://platiica.economia.gob.mx/normalizacion/nom-144-semarnat-2017/ | https://www.gob.mx/semarnat/documentos/registro-de-las-personas-autorizadas-para-el-uso-de-la-marca-nom-144-semarnat-2017 | https://platiica.economia.gob.mx/normalizacion/nom-008-se-2021/ | https://generaltools.com/products/pin-type-lcd-moisture-meter | https://www.delmhorst.com/products/bdx-30-moisture-meter-for-building-materials</w:t>
      </w:r>
    </w:p>
    <w:p>
      <w:pPr>
        <w:pStyle w:val="Heading1"/>
      </w:pPr>
      <w:r>
        <w:rPr>
          <w:rFonts w:ascii="Arial" w:hAnsi="Arial" w:eastAsia="Arial" w:cs="Arial"/>
        </w:rPr>
        <w:t>Control de aprobación y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3175"/>
            <w:shd w:fill="1F6E2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Elaboró</w:t>
            </w:r>
          </w:p>
        </w:tc>
        <w:tc>
          <w:tcPr>
            <w:tcW w:type="dxa" w:w="3175"/>
            <w:shd w:fill="1F6E2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Revisó</w:t>
            </w:r>
          </w:p>
        </w:tc>
        <w:tc>
          <w:tcPr>
            <w:tcW w:type="dxa" w:w="3175"/>
            <w:shd w:fill="1F6E2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Aprobó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__________________</w:t>
              <w:br/>
              <w:t>Apoyo SGC</w:t>
            </w:r>
          </w:p>
        </w:tc>
        <w:tc>
          <w:tcPr>
            <w:tcW w:type="dxa" w:w="317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__________________</w:t>
              <w:br/>
              <w:t>Responsable técnico</w:t>
            </w:r>
          </w:p>
        </w:tc>
        <w:tc>
          <w:tcPr>
            <w:tcW w:type="dxa" w:w="317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__________________</w:t>
              <w:br/>
              <w:t>Dirección</w:t>
            </w:r>
          </w:p>
        </w:tc>
      </w:tr>
      <w:tr>
        <w:trPr>
          <w:cantSplit/>
        </w:trPr>
        <w:tc>
          <w:tcPr>
            <w:tcW w:type="dxa" w:w="317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Fecha: __________</w:t>
            </w:r>
          </w:p>
        </w:tc>
        <w:tc>
          <w:tcPr>
            <w:tcW w:type="dxa" w:w="317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Fecha: __________</w:t>
            </w:r>
          </w:p>
        </w:tc>
        <w:tc>
          <w:tcPr>
            <w:tcW w:type="dxa" w:w="317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 w:cs="Arial"/>
                <w:color w:val="20252B"/>
                <w:sz w:val="17"/>
              </w:rPr>
              <w:t>Fecha: 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  <w:cantSplit/>
        </w:trPr>
        <w:tc>
          <w:tcPr>
            <w:tcW w:type="dxa" w:w="1296"/>
            <w:shd w:fill="4A2D1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8352"/>
            <w:shd w:fill="4A2D1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Descripción del cambio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1.0</w:t>
            </w:r>
          </w:p>
        </w:tc>
        <w:tc>
          <w:tcPr>
            <w:tcW w:type="dxa" w:w="83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color w:val="20252B"/>
                <w:sz w:val="16"/>
              </w:rPr>
              <w:t>Primera emisión para revisión e implantación piloto.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1.1</w:t>
            </w:r>
          </w:p>
        </w:tc>
        <w:tc>
          <w:tcPr>
            <w:tcW w:type="dxa" w:w="8352"/>
            <w:vAlign w:val="center"/>
            <w:shd w:fill="F3F0EB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>Se incorpora procedimiento integrado de inspección con aplicación explícita de NMX-Z-12/2-1987, NOM-144-SEMARNAT-2017, NOM-008-SE-2021 e ISO 9001:2026 como marco del SGC; se amplían controles fitosanitarios y checklist.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/>
                <w:color w:val="222222"/>
                <w:sz w:val="16"/>
              </w:rPr>
              <w:t>1.2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color w:val="222222"/>
                <w:sz w:val="16"/>
              </w:rPr>
              <w:t>Se incorporan directamente las cantidades de muestreo por tamaño de lote para los Niveles Generales I, II y III; se establece el Nivel II como estándar CAMPAR, la inspección 100 % para lotes de 1 a 15 unidades, reglas de selección representativa y reglas de cambio entre inspección normal y rigurosa.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1219" w:right="1049" w:bottom="1020" w:left="104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color w:val="666666"/>
        <w:sz w:val="16"/>
      </w:rPr>
      <w:t xml:space="preserve">SGC CAMPAR  |  Documento controlado  |  </w:t>
    </w:r>
    <w:r>
      <w:rPr>
        <w:rFonts w:ascii="Arial" w:hAnsi="Arial" w:eastAsia="Arial" w:cs="Arial"/>
        <w:color w:val="666666"/>
        <w:sz w:val="16"/>
      </w:rPr>
      <w:fldChar w:fldCharType="begin"/>
      <w:instrText xml:space="preserve">PAGE</w:instrText>
      <w:fldChar w:fldCharType="end"/>
    </w:r>
    <w:r>
      <w:rPr>
        <w:rFonts w:ascii="Arial" w:hAnsi="Arial" w:eastAsia="Arial" w:cs="Arial"/>
        <w:color w:val="666666"/>
        <w:sz w:val="16"/>
      </w:rPr>
      <w:t xml:space="preserve"> de </w:t>
    </w:r>
    <w:r>
      <w:rPr>
        <w:rFonts w:ascii="Arial" w:hAnsi="Arial" w:eastAsia="Arial" w:cs="Arial"/>
        <w:color w:val="666666"/>
        <w:sz w:val="16"/>
      </w:rPr>
      <w:fldChar w:fldCharType="begin"/>
      <w:instrText xml:space="preserve">NUMPAGES</w:instrText>
      <w:fldChar w:fldCharType="end"/>
    </w:r>
    <w:r>
      <w:rPr>
        <w:rFonts w:ascii="Arial" w:hAnsi="Arial" w:eastAsia="Arial" w:cs="Arial"/>
        <w:color w:val="666666"/>
        <w:sz w:val="16"/>
      </w:rPr>
      <w:t xml:space="preserve">  |  Copia impresa: no controlada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587"/>
      <w:gridCol w:w="5669"/>
      <w:gridCol w:w="2551"/>
    </w:tblGrid>
    <w:tr>
      <w:tc>
        <w:tcPr>
          <w:tcW w:type="dxa" w:w="3269"/>
          <w:tcMar>
            <w:top w:w="20" w:type="dxa"/>
            <w:start w:w="40" w:type="dxa"/>
            <w:bottom w:w="20" w:type="dxa"/>
            <w:end w:w="40" w:type="dxa"/>
          </w:tcMar>
          <w:tcBorders>
            <w:bottom w:val="single" w:sz="10" w:color="CBA76A"/>
          </w:tcBorders>
        </w:tcPr>
        <w:p>
          <w:pPr>
            <w:jc w:val="left"/>
          </w:pPr>
          <w:r>
            <w:rPr>
              <w:rFonts w:ascii="Arial" w:hAnsi="Arial" w:eastAsia="Arial" w:cs="Arial"/>
            </w:rPr>
            <w:drawing>
              <wp:inline xmlns:a="http://schemas.openxmlformats.org/drawingml/2006/main" xmlns:pic="http://schemas.openxmlformats.org/drawingml/2006/picture">
                <wp:extent cx="827999" cy="91485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par_logo_cropp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7999" cy="9148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69"/>
          <w:tcMar>
            <w:top w:w="20" w:type="dxa"/>
            <w:start w:w="40" w:type="dxa"/>
            <w:bottom w:w="20" w:type="dxa"/>
            <w:end w:w="40" w:type="dxa"/>
          </w:tcMar>
          <w:tcBorders>
            <w:bottom w:val="single" w:sz="10" w:color="CBA76A"/>
          </w:tcBorders>
        </w:tcPr>
        <w:p>
          <w:pPr>
            <w:jc w:val="center"/>
          </w:pPr>
          <w:r>
            <w:rPr>
              <w:rFonts w:ascii="Arial" w:hAnsi="Arial" w:eastAsia="Arial" w:cs="Arial"/>
              <w:b/>
              <w:color w:val="5B3A24"/>
              <w:sz w:val="18"/>
            </w:rPr>
            <w:t>Manual de Calidad e Inspección</w:t>
          </w:r>
        </w:p>
      </w:tc>
      <w:tc>
        <w:tcPr>
          <w:tcW w:type="dxa" w:w="3269"/>
          <w:tcMar>
            <w:top w:w="20" w:type="dxa"/>
            <w:start w:w="40" w:type="dxa"/>
            <w:bottom w:w="20" w:type="dxa"/>
            <w:end w:w="40" w:type="dxa"/>
          </w:tcMar>
          <w:tcBorders>
            <w:bottom w:val="single" w:sz="10" w:color="CBA76A"/>
          </w:tcBorders>
        </w:tcPr>
        <w:p>
          <w:r>
            <w:rPr>
              <w:rFonts w:ascii="Arial" w:hAnsi="Arial" w:eastAsia="Arial" w:cs="Arial"/>
              <w:b/>
              <w:sz w:val="15"/>
            </w:rPr>
            <w:t>MAN-SGC-01</w:t>
            <w:br/>
            <w:t>v1.2</w:t>
            <w:br/>
            <w:t>EN REVISIÓN PARA PILOTO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 w:cs="Arial"/>
      <w:color w:val="2025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5B3A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1F6E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7A56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5B3A2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