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Draw the Path: Portfolio Sitemap + Toolkit</w:t>
      </w:r>
    </w:p>
    <w:p>
      <w:pPr>
        <w:pBdr>
          <w:bottom w:val="single" w:color="1F3864" w:sz="12" w:space="4"/>
        </w:pBdr>
        <w:spacing w:after="80"/>
      </w:pPr>
      <w:r>
        <w:rPr>
          <w:color w:val="666666"/>
          <w:sz w:val="20"/>
          <w:szCs w:val="20"/>
        </w:rPr>
        <w:t xml:space="preserve">Week 1 · General AI Fluency · Saad Imran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Proof statement (from "What Are You Proving?")</w:t>
      </w:r>
    </w:p>
    <w:p>
      <w:pPr>
        <w:pBdr>
          <w:left w:val="single" w:color="1F3864" w:sz="18" w:space="12"/>
        </w:pBdr>
        <w:spacing w:after="120"/>
        <w:ind w:left="200"/>
      </w:pPr>
      <w:r>
        <w:rPr>
          <w:sz w:val="21"/>
          <w:szCs w:val="21"/>
        </w:rPr>
        <w:t xml:space="preserve">I build RAG systems that answer strictly from your own documents and refuse to invent anything — when the evidence isn't there, they say so instead of hallucinating. I proved it with DecisAI, a bid-response assistant that reads 500-page tenders and drafts a response only when the evidence backs it up. I'm proving this to a founder or operations lead at a document-heavy company, so they'll email me to set up a call.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Toolkit (all free accounts created)</w:t>
      </w:r>
    </w:p>
    <w:p>
      <w:pPr>
        <w:spacing w:after="100"/>
      </w:pPr>
      <w:r>
        <w:rPr>
          <w:sz w:val="21"/>
          <w:szCs w:val="21"/>
        </w:rPr>
        <w:t xml:space="preserve">Claude ✓   ·   ChatGPT ✓   ·   Gemini ✓   ·   Perplexity ✓   —   main build partner: Claude.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AI workspace (Claude Project)</w:t>
      </w:r>
    </w:p>
    <w:p>
      <w:pPr>
        <w:spacing w:after="100"/>
      </w:pPr>
      <w:r>
        <w:rPr>
          <w:sz w:val="21"/>
          <w:szCs w:val="21"/>
        </w:rPr>
        <w:t xml:space="preserve">Project "Portfolio Build — Grounded RAG (DecisAI)" created with genuine custom instructions in the Instructions field: my proof statement pasted in, plus a request to act as a tutor that explains its reasoning. It follows the build for all 10 weeks. (Screenshot attached separately.)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Sitemap v1 (initial sketch)</w:t>
      </w:r>
    </w:p>
    <w:p>
      <w:pPr>
        <w:spacing w:after="60"/>
        <w:jc w:val="center"/>
      </w:pPr>
      <w:r>
        <w:drawing>
          <wp:inline distT="0" distB="0" distL="0" distR="0">
            <wp:extent cx="4953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Pressure-test — prompt I ran</w:t>
      </w:r>
    </w:p>
    <w:p>
      <w:pPr>
        <w:shd w:fill="F0F2F7" w:color="auto" w:val="clear"/>
        <w:spacing w:after="100"/>
      </w:pPr>
      <w:r>
        <w:rPr>
          <w:i/>
          <w:iCs/>
          <w:sz w:val="20"/>
          <w:szCs w:val="20"/>
        </w:rPr>
        <w:t xml:space="preserve">Pressure-test this sitemap against my one claim (grounded RAG, no hallucinations) and my one action (email me to set up a call). Which pages earn their place, which are wasted, and what's missing? Be specific and critical, not encouraging. End with the single most important change you'd make.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Pressure-test — key findings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Hero: right structure, wrong framing — it leads with the mechanism ("no hallucinations") instead of the buyer's real fear (the assistant confidently telling a client something false).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Proof (DecisAI): the only page that fully earns its place, but it leads with the wrong number — accuracy (94%) is a commodity; the real differentiator is the refusal ("no evidence, no draft").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About: doesn't earn a standalone page — it adds a step between proof and action; fold it into two lines under the hero.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Contact: wasted as a page if it just shows an email; only earns its place as a friction-reducer (pre-filled mailto / one-click calendar link).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Missing (load-bearing): a "how it stays grounded" explanation, a data-privacy answer ("where do my documents go?"), and a direct handler for "will it embarrass me in front of a client?"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The one change I'm making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Stop leading with accuracy; lead with the refusal. </w:t>
      </w:r>
      <w:r>
        <w:rPr>
          <w:sz w:val="21"/>
          <w:szCs w:val="21"/>
        </w:rPr>
        <w:t xml:space="preserve">The hero and the demo's first ten seconds become the moment DecisAI declines to answer — "no evidence, no draft." That behavior, not the 94% stat, is the only thing on the site a competitor can't copy, and it's what earns the email. I also fold About into the hero, upgrade Contact to a low-friction call link, and add a grounding + data-privacy beat to the proof page.</w:t>
      </w:r>
    </w:p>
    <w:p>
      <w:pPr>
        <w:pStyle w:val="Heading2"/>
        <w:spacing w:after="80" w:before="200"/>
      </w:pPr>
      <w:r>
        <w:rPr>
          <w:b/>
          <w:bCs/>
          <w:color w:val="1F3864"/>
        </w:rPr>
        <w:t xml:space="preserve">Sitemap v2 (revised after the pressure-test)</w:t>
      </w:r>
    </w:p>
    <w:p>
      <w:pPr>
        <w:spacing w:after="4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d4dbc600eba23bafcf6a6fd48488b65c5870ec.png"/><Relationship Id="rId8" Type="http://schemas.openxmlformats.org/officeDocument/2006/relationships/image" Target="media/3fc85c17d26f3097b94b9cfba1dc515fe58ae7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2026-07-16T20:16:01.407Z</dcterms:created>
  <dcterms:modified xsi:type="dcterms:W3CDTF">2026-07-16T20:16:01.409Z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