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65" w:rsidRDefault="003C5D65" w:rsidP="003C5D65">
      <w:pPr>
        <w:pStyle w:val="Heading2"/>
        <w:rPr>
          <w:sz w:val="24"/>
          <w14:textOutline w14:w="9525" w14:cap="rnd" w14:cmpd="sng" w14:algn="ctr">
            <w14:noFill/>
            <w14:prstDash w14:val="solid"/>
            <w14:bevel/>
          </w14:textOutline>
        </w:rPr>
      </w:pPr>
      <w:bookmarkStart w:id="0" w:name="_Toc188902985"/>
      <w:bookmarkStart w:id="1" w:name="_Toc188954876"/>
      <w:bookmarkStart w:id="2" w:name="_Toc193368651"/>
      <w:r>
        <w:rPr>
          <w:rFonts w:eastAsia="Calibri"/>
        </w:rPr>
        <w:t>Graduate Attributes (GAs):</w:t>
      </w:r>
      <w:bookmarkEnd w:id="0"/>
      <w:bookmarkEnd w:id="1"/>
      <w:bookmarkEnd w:id="2"/>
    </w:p>
    <w:p w:rsidR="00CF1DDE" w:rsidRPr="00CF1DDE" w:rsidRDefault="00CF1DDE" w:rsidP="00CF1DDE">
      <w:pPr>
        <w:widowControl/>
        <w:spacing w:before="100" w:beforeAutospacing="1" w:after="100" w:afterAutospacing="1"/>
        <w:jc w:val="both"/>
        <w:rPr>
          <w:sz w:val="24"/>
          <w:szCs w:val="24"/>
        </w:rPr>
      </w:pPr>
      <w:r w:rsidRPr="00CF1DDE">
        <w:rPr>
          <w:b/>
          <w:bCs/>
          <w:sz w:val="24"/>
          <w:szCs w:val="24"/>
        </w:rPr>
        <w:t>Graduate Attributes (GAs)</w:t>
      </w:r>
      <w:r w:rsidRPr="00CF1DDE">
        <w:rPr>
          <w:sz w:val="24"/>
          <w:szCs w:val="24"/>
        </w:rPr>
        <w:t xml:space="preserve"> are defined as a set of measurable outcomes that reflect a graduate’s potential to attain the competence necessary for professional practice at an appropriate level. These attributes serve as benchmarks that delineate the expected capabilities of graduates from an accredited academic program. Graduate Attributes are articulated through clear and concise statements that may be further contextualized based on the nature and type of the program.</w:t>
      </w:r>
    </w:p>
    <w:p w:rsidR="00CF1DDE" w:rsidRPr="00CF1DDE" w:rsidRDefault="00CF1DDE" w:rsidP="00CF1DDE">
      <w:pPr>
        <w:widowControl/>
        <w:spacing w:before="100" w:beforeAutospacing="1" w:after="100" w:afterAutospacing="1"/>
        <w:jc w:val="both"/>
        <w:rPr>
          <w:sz w:val="24"/>
          <w:szCs w:val="24"/>
        </w:rPr>
      </w:pPr>
      <w:r w:rsidRPr="00CF1DDE">
        <w:rPr>
          <w:sz w:val="24"/>
          <w:szCs w:val="24"/>
        </w:rPr>
        <w:t>The academic curriculum plays a pivotal role in cultivating these attributes, ensuring that students are systematically prepared to meet the expected standards. While Program Objectives (POs) provide more specific descriptions of what students should know and be able to do by the time of graduation, Graduate Attributes emphasize the comprehensive development of knowledge, skills, and professional attitudes throughout the duration of the program. It is imperative that the attainment of these attributes is demonstrable at the point of graduation.</w:t>
      </w:r>
    </w:p>
    <w:p w:rsidR="00CF1DDE" w:rsidRPr="00CF1DDE" w:rsidRDefault="00CF1DDE" w:rsidP="00CF1DDE">
      <w:pPr>
        <w:widowControl/>
        <w:spacing w:before="100" w:beforeAutospacing="1" w:after="100" w:afterAutospacing="1"/>
        <w:jc w:val="both"/>
        <w:rPr>
          <w:sz w:val="24"/>
          <w:szCs w:val="24"/>
        </w:rPr>
      </w:pPr>
      <w:r w:rsidRPr="00CF1DDE">
        <w:rPr>
          <w:sz w:val="24"/>
          <w:szCs w:val="24"/>
        </w:rPr>
        <w:t>Accredited programs must provide evidence that all students have achieved, at minimum, a foundational level of knowledge, tech</w:t>
      </w:r>
      <w:bookmarkStart w:id="3" w:name="_GoBack"/>
      <w:bookmarkEnd w:id="3"/>
      <w:r w:rsidRPr="00CF1DDE">
        <w:rPr>
          <w:sz w:val="24"/>
          <w:szCs w:val="24"/>
        </w:rPr>
        <w:t>nical skills, and behavioral competencies upon graduation. Initially, this minimum attainment threshold should not fall below 50%. However, as the program matures and undergoes continuous quality improvement (CQI), this threshold is expected to rise progressively. The program must, therefore, demonstrate that all graduates of an accredited cohort have successfully attained the following Graduate Attributes (GAs).</w:t>
      </w:r>
    </w:p>
    <w:tbl>
      <w:tblPr>
        <w:tblW w:w="4693" w:type="pct"/>
        <w:tblLook w:val="04A0" w:firstRow="1" w:lastRow="0" w:firstColumn="1" w:lastColumn="0" w:noHBand="0" w:noVBand="1"/>
      </w:tblPr>
      <w:tblGrid>
        <w:gridCol w:w="823"/>
        <w:gridCol w:w="4803"/>
        <w:gridCol w:w="759"/>
        <w:gridCol w:w="858"/>
        <w:gridCol w:w="783"/>
        <w:gridCol w:w="750"/>
      </w:tblGrid>
      <w:tr w:rsidR="003C5D65" w:rsidRPr="00235231" w:rsidTr="007F24A7">
        <w:trPr>
          <w:trHeight w:val="620"/>
        </w:trPr>
        <w:tc>
          <w:tcPr>
            <w:tcW w:w="514" w:type="pct"/>
            <w:tcBorders>
              <w:top w:val="single" w:sz="4" w:space="0" w:color="auto"/>
              <w:left w:val="single" w:sz="4" w:space="0" w:color="auto"/>
              <w:bottom w:val="single" w:sz="4" w:space="0" w:color="auto"/>
              <w:right w:val="single" w:sz="4" w:space="0" w:color="auto"/>
            </w:tcBorders>
            <w:shd w:val="clear" w:color="auto" w:fill="D9E2F3"/>
            <w:noWrap/>
            <w:vAlign w:val="bottom"/>
            <w:hideMark/>
          </w:tcPr>
          <w:p w:rsidR="003C5D65" w:rsidRPr="0069426D" w:rsidRDefault="003C5D65" w:rsidP="007F24A7">
            <w:pPr>
              <w:widowControl/>
              <w:spacing w:after="160" w:line="259" w:lineRule="auto"/>
              <w:jc w:val="center"/>
              <w:rPr>
                <w:rFonts w:eastAsia="Calibri"/>
                <w:b/>
                <w:bCs/>
                <w:sz w:val="24"/>
                <w:lang w:eastAsia="en-GB"/>
              </w:rPr>
            </w:pPr>
            <w:r w:rsidRPr="0069426D">
              <w:rPr>
                <w:rFonts w:eastAsia="Calibri"/>
                <w:b/>
                <w:bCs/>
                <w:sz w:val="24"/>
                <w:lang w:eastAsia="en-GB"/>
              </w:rPr>
              <w:t>S. No.</w:t>
            </w:r>
          </w:p>
        </w:tc>
        <w:tc>
          <w:tcPr>
            <w:tcW w:w="2239" w:type="pct"/>
            <w:tcBorders>
              <w:top w:val="single" w:sz="4" w:space="0" w:color="auto"/>
              <w:left w:val="nil"/>
              <w:bottom w:val="single" w:sz="4" w:space="0" w:color="auto"/>
              <w:right w:val="single" w:sz="4" w:space="0" w:color="auto"/>
            </w:tcBorders>
            <w:shd w:val="clear" w:color="auto" w:fill="D9E2F3"/>
            <w:noWrap/>
            <w:vAlign w:val="bottom"/>
            <w:hideMark/>
          </w:tcPr>
          <w:p w:rsidR="003C5D65" w:rsidRPr="0069426D" w:rsidRDefault="003C5D65" w:rsidP="007F24A7">
            <w:pPr>
              <w:widowControl/>
              <w:spacing w:after="160" w:line="259" w:lineRule="auto"/>
              <w:jc w:val="center"/>
              <w:rPr>
                <w:rFonts w:eastAsia="Calibri"/>
                <w:b/>
                <w:bCs/>
                <w:sz w:val="24"/>
                <w:lang w:eastAsia="en-GB"/>
              </w:rPr>
            </w:pPr>
            <w:r w:rsidRPr="0069426D">
              <w:rPr>
                <w:rFonts w:eastAsia="Calibri"/>
                <w:b/>
                <w:bCs/>
                <w:sz w:val="24"/>
                <w:lang w:eastAsia="en-GB"/>
              </w:rPr>
              <w:t>GAs</w:t>
            </w:r>
          </w:p>
        </w:tc>
        <w:tc>
          <w:tcPr>
            <w:tcW w:w="593" w:type="pct"/>
            <w:tcBorders>
              <w:top w:val="single" w:sz="4" w:space="0" w:color="auto"/>
              <w:left w:val="nil"/>
              <w:bottom w:val="single" w:sz="4" w:space="0" w:color="auto"/>
              <w:right w:val="single" w:sz="4" w:space="0" w:color="auto"/>
            </w:tcBorders>
            <w:shd w:val="clear" w:color="auto" w:fill="D9E2F3"/>
            <w:noWrap/>
            <w:vAlign w:val="bottom"/>
            <w:hideMark/>
          </w:tcPr>
          <w:p w:rsidR="003C5D65" w:rsidRPr="0069426D" w:rsidRDefault="003C5D65" w:rsidP="007F24A7">
            <w:pPr>
              <w:widowControl/>
              <w:spacing w:after="160" w:line="259" w:lineRule="auto"/>
              <w:jc w:val="center"/>
              <w:rPr>
                <w:rFonts w:eastAsia="Calibri"/>
                <w:b/>
                <w:bCs/>
                <w:sz w:val="24"/>
                <w:lang w:eastAsia="en-GB"/>
              </w:rPr>
            </w:pPr>
            <w:r w:rsidRPr="0069426D">
              <w:rPr>
                <w:rFonts w:eastAsia="Calibri"/>
                <w:b/>
                <w:bCs/>
                <w:sz w:val="24"/>
                <w:lang w:eastAsia="en-GB"/>
              </w:rPr>
              <w:t>PO-1</w:t>
            </w:r>
          </w:p>
        </w:tc>
        <w:tc>
          <w:tcPr>
            <w:tcW w:w="594" w:type="pct"/>
            <w:tcBorders>
              <w:top w:val="single" w:sz="4" w:space="0" w:color="auto"/>
              <w:left w:val="nil"/>
              <w:bottom w:val="single" w:sz="4" w:space="0" w:color="auto"/>
              <w:right w:val="single" w:sz="4" w:space="0" w:color="auto"/>
            </w:tcBorders>
            <w:shd w:val="clear" w:color="auto" w:fill="D9E2F3"/>
            <w:noWrap/>
            <w:vAlign w:val="bottom"/>
            <w:hideMark/>
          </w:tcPr>
          <w:p w:rsidR="003C5D65" w:rsidRPr="0069426D" w:rsidRDefault="003C5D65" w:rsidP="007F24A7">
            <w:pPr>
              <w:widowControl/>
              <w:spacing w:after="160" w:line="259" w:lineRule="auto"/>
              <w:jc w:val="center"/>
              <w:rPr>
                <w:rFonts w:eastAsia="Calibri"/>
                <w:b/>
                <w:bCs/>
                <w:sz w:val="24"/>
                <w:lang w:eastAsia="en-GB"/>
              </w:rPr>
            </w:pPr>
            <w:r w:rsidRPr="0069426D">
              <w:rPr>
                <w:rFonts w:eastAsia="Calibri"/>
                <w:b/>
                <w:bCs/>
                <w:sz w:val="24"/>
                <w:lang w:eastAsia="en-GB"/>
              </w:rPr>
              <w:t>PO-2</w:t>
            </w:r>
          </w:p>
        </w:tc>
        <w:tc>
          <w:tcPr>
            <w:tcW w:w="551" w:type="pct"/>
            <w:tcBorders>
              <w:top w:val="single" w:sz="4" w:space="0" w:color="auto"/>
              <w:left w:val="nil"/>
              <w:bottom w:val="single" w:sz="4" w:space="0" w:color="auto"/>
              <w:right w:val="single" w:sz="4" w:space="0" w:color="auto"/>
            </w:tcBorders>
            <w:shd w:val="clear" w:color="auto" w:fill="D9E2F3"/>
            <w:noWrap/>
            <w:vAlign w:val="bottom"/>
            <w:hideMark/>
          </w:tcPr>
          <w:p w:rsidR="003C5D65" w:rsidRPr="0069426D" w:rsidRDefault="003C5D65" w:rsidP="007F24A7">
            <w:pPr>
              <w:widowControl/>
              <w:spacing w:after="160" w:line="259" w:lineRule="auto"/>
              <w:jc w:val="center"/>
              <w:rPr>
                <w:rFonts w:eastAsia="Calibri"/>
                <w:b/>
                <w:bCs/>
                <w:sz w:val="24"/>
                <w:lang w:eastAsia="en-GB"/>
              </w:rPr>
            </w:pPr>
            <w:r w:rsidRPr="0069426D">
              <w:rPr>
                <w:rFonts w:eastAsia="Calibri"/>
                <w:b/>
                <w:bCs/>
                <w:sz w:val="24"/>
                <w:lang w:eastAsia="en-GB"/>
              </w:rPr>
              <w:t>PO-3</w:t>
            </w:r>
          </w:p>
        </w:tc>
        <w:tc>
          <w:tcPr>
            <w:tcW w:w="509" w:type="pct"/>
            <w:tcBorders>
              <w:top w:val="single" w:sz="4" w:space="0" w:color="auto"/>
              <w:left w:val="nil"/>
              <w:bottom w:val="single" w:sz="4" w:space="0" w:color="auto"/>
              <w:right w:val="single" w:sz="4" w:space="0" w:color="auto"/>
            </w:tcBorders>
            <w:shd w:val="clear" w:color="auto" w:fill="D9E2F3"/>
            <w:noWrap/>
            <w:vAlign w:val="bottom"/>
            <w:hideMark/>
          </w:tcPr>
          <w:p w:rsidR="003C5D65" w:rsidRPr="0069426D" w:rsidRDefault="003C5D65" w:rsidP="007F24A7">
            <w:pPr>
              <w:widowControl/>
              <w:spacing w:after="160" w:line="259" w:lineRule="auto"/>
              <w:jc w:val="center"/>
              <w:rPr>
                <w:rFonts w:eastAsia="Calibri"/>
                <w:b/>
                <w:bCs/>
                <w:sz w:val="24"/>
                <w:lang w:eastAsia="en-GB"/>
              </w:rPr>
            </w:pPr>
            <w:r w:rsidRPr="0069426D">
              <w:rPr>
                <w:rFonts w:eastAsia="Calibri"/>
                <w:b/>
                <w:bCs/>
                <w:sz w:val="24"/>
                <w:lang w:eastAsia="en-GB"/>
              </w:rPr>
              <w:t>PO-4</w:t>
            </w: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rPr>
                <w:rFonts w:eastAsia="Calibri"/>
                <w:b/>
                <w:sz w:val="24"/>
              </w:rPr>
            </w:pPr>
            <w:r w:rsidRPr="000F1AA5">
              <w:rPr>
                <w:b/>
                <w:sz w:val="24"/>
              </w:rPr>
              <w:t>Academic Education</w:t>
            </w:r>
          </w:p>
        </w:tc>
        <w:tc>
          <w:tcPr>
            <w:tcW w:w="593"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94"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51"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c>
          <w:tcPr>
            <w:tcW w:w="50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rPr>
                <w:rFonts w:eastAsia="Calibri"/>
                <w:b/>
                <w:sz w:val="24"/>
              </w:rPr>
            </w:pPr>
            <w:r w:rsidRPr="000F1AA5">
              <w:rPr>
                <w:b/>
                <w:sz w:val="24"/>
                <w:lang w:eastAsia="en-GB"/>
              </w:rPr>
              <w:t>Knowledge for Solving Computing Problems</w:t>
            </w:r>
          </w:p>
        </w:tc>
        <w:tc>
          <w:tcPr>
            <w:tcW w:w="593"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94"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51"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c>
          <w:tcPr>
            <w:tcW w:w="50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vAlign w:val="center"/>
            <w:hideMark/>
          </w:tcPr>
          <w:p w:rsidR="003C5D65" w:rsidRPr="000F1AA5" w:rsidRDefault="003C5D65" w:rsidP="007F24A7">
            <w:pPr>
              <w:widowControl/>
              <w:rPr>
                <w:rFonts w:eastAsia="Calibri"/>
                <w:b/>
                <w:sz w:val="24"/>
              </w:rPr>
            </w:pPr>
            <w:r w:rsidRPr="000F1AA5">
              <w:rPr>
                <w:b/>
                <w:sz w:val="24"/>
                <w:lang w:eastAsia="en-GB"/>
              </w:rPr>
              <w:t>Problem Analysis</w:t>
            </w:r>
          </w:p>
        </w:tc>
        <w:tc>
          <w:tcPr>
            <w:tcW w:w="593"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51"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0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rPr>
                <w:rFonts w:eastAsia="Calibri"/>
                <w:b/>
                <w:sz w:val="24"/>
              </w:rPr>
            </w:pPr>
            <w:r w:rsidRPr="000F1AA5">
              <w:rPr>
                <w:b/>
                <w:sz w:val="24"/>
              </w:rPr>
              <w:t>Design/ Development of Solutions</w:t>
            </w:r>
          </w:p>
        </w:tc>
        <w:tc>
          <w:tcPr>
            <w:tcW w:w="593"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51"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0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rPr>
                <w:rFonts w:eastAsia="Calibri"/>
                <w:b/>
                <w:sz w:val="24"/>
              </w:rPr>
            </w:pPr>
            <w:r w:rsidRPr="000F1AA5">
              <w:rPr>
                <w:b/>
                <w:sz w:val="24"/>
                <w:lang w:eastAsia="en-GB"/>
              </w:rPr>
              <w:t>Modern Tool Usage</w:t>
            </w:r>
          </w:p>
        </w:tc>
        <w:tc>
          <w:tcPr>
            <w:tcW w:w="593"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51"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c>
          <w:tcPr>
            <w:tcW w:w="50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rPr>
                <w:rFonts w:eastAsia="Calibri"/>
                <w:b/>
                <w:sz w:val="24"/>
              </w:rPr>
            </w:pPr>
            <w:r w:rsidRPr="000F1AA5">
              <w:rPr>
                <w:b/>
                <w:sz w:val="24"/>
              </w:rPr>
              <w:t>Individual and Team Work</w:t>
            </w:r>
          </w:p>
        </w:tc>
        <w:tc>
          <w:tcPr>
            <w:tcW w:w="593"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p>
        </w:tc>
        <w:tc>
          <w:tcPr>
            <w:tcW w:w="551"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09" w:type="pct"/>
            <w:tcBorders>
              <w:top w:val="nil"/>
              <w:left w:val="nil"/>
              <w:bottom w:val="single" w:sz="4" w:space="0" w:color="auto"/>
              <w:right w:val="single" w:sz="4" w:space="0" w:color="auto"/>
            </w:tcBorders>
            <w:shd w:val="clear" w:color="auto" w:fill="auto"/>
            <w:noWrap/>
            <w:vAlign w:val="center"/>
            <w:hideMark/>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rPr>
                <w:rFonts w:eastAsia="Calibri"/>
                <w:b/>
                <w:sz w:val="24"/>
              </w:rPr>
            </w:pPr>
            <w:r w:rsidRPr="000F1AA5">
              <w:rPr>
                <w:b/>
                <w:sz w:val="24"/>
              </w:rPr>
              <w:t>Communication</w:t>
            </w:r>
          </w:p>
        </w:tc>
        <w:tc>
          <w:tcPr>
            <w:tcW w:w="593"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51"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0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rPr>
                <w:rFonts w:eastAsia="Calibri"/>
                <w:b/>
                <w:sz w:val="24"/>
              </w:rPr>
            </w:pPr>
            <w:r w:rsidRPr="000F1AA5">
              <w:rPr>
                <w:b/>
                <w:sz w:val="24"/>
                <w:lang w:eastAsia="en-GB"/>
              </w:rPr>
              <w:t>Computing Professionalism and Society</w:t>
            </w:r>
          </w:p>
        </w:tc>
        <w:tc>
          <w:tcPr>
            <w:tcW w:w="593"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51"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0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rPr>
                <w:rFonts w:eastAsia="Calibri"/>
                <w:b/>
                <w:sz w:val="24"/>
              </w:rPr>
            </w:pPr>
            <w:r w:rsidRPr="000F1AA5">
              <w:rPr>
                <w:b/>
                <w:sz w:val="24"/>
                <w:lang w:eastAsia="en-GB"/>
              </w:rPr>
              <w:t>Ethics</w:t>
            </w:r>
          </w:p>
        </w:tc>
        <w:tc>
          <w:tcPr>
            <w:tcW w:w="593"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51"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0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r>
      <w:tr w:rsidR="003C5D65" w:rsidRPr="00235231" w:rsidTr="007F24A7">
        <w:trPr>
          <w:trHeight w:val="567"/>
        </w:trPr>
        <w:tc>
          <w:tcPr>
            <w:tcW w:w="514" w:type="pct"/>
            <w:tcBorders>
              <w:top w:val="nil"/>
              <w:left w:val="single" w:sz="4" w:space="0" w:color="auto"/>
              <w:bottom w:val="single" w:sz="4" w:space="0" w:color="auto"/>
              <w:right w:val="single" w:sz="4" w:space="0" w:color="auto"/>
            </w:tcBorders>
            <w:shd w:val="clear" w:color="auto" w:fill="auto"/>
            <w:noWrap/>
            <w:vAlign w:val="center"/>
          </w:tcPr>
          <w:p w:rsidR="003C5D65" w:rsidRPr="00235231" w:rsidRDefault="003C5D65" w:rsidP="003C5D65">
            <w:pPr>
              <w:widowControl/>
              <w:numPr>
                <w:ilvl w:val="0"/>
                <w:numId w:val="1"/>
              </w:numPr>
              <w:spacing w:after="160" w:line="259" w:lineRule="auto"/>
              <w:contextualSpacing/>
              <w:jc w:val="center"/>
              <w:rPr>
                <w:sz w:val="24"/>
                <w:szCs w:val="24"/>
                <w:lang w:eastAsia="en-GB"/>
              </w:rPr>
            </w:pPr>
          </w:p>
        </w:tc>
        <w:tc>
          <w:tcPr>
            <w:tcW w:w="2239" w:type="pct"/>
            <w:tcBorders>
              <w:top w:val="nil"/>
              <w:left w:val="nil"/>
              <w:bottom w:val="single" w:sz="4" w:space="0" w:color="auto"/>
              <w:right w:val="single" w:sz="4" w:space="0" w:color="auto"/>
            </w:tcBorders>
            <w:shd w:val="clear" w:color="auto" w:fill="auto"/>
            <w:vAlign w:val="center"/>
          </w:tcPr>
          <w:p w:rsidR="003C5D65" w:rsidRPr="000F1AA5" w:rsidRDefault="003C5D65" w:rsidP="007F24A7">
            <w:pPr>
              <w:widowControl/>
              <w:rPr>
                <w:rFonts w:eastAsia="Calibri"/>
                <w:b/>
                <w:sz w:val="24"/>
              </w:rPr>
            </w:pPr>
            <w:r w:rsidRPr="000F1AA5">
              <w:rPr>
                <w:b/>
                <w:sz w:val="24"/>
                <w:lang w:eastAsia="en-GB"/>
              </w:rPr>
              <w:t>Life-long Learning</w:t>
            </w:r>
          </w:p>
        </w:tc>
        <w:tc>
          <w:tcPr>
            <w:tcW w:w="593"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94"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c>
          <w:tcPr>
            <w:tcW w:w="551"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r w:rsidRPr="000F1AA5">
              <w:rPr>
                <w:rFonts w:ascii="Segoe UI Symbol" w:hAnsi="Segoe UI Symbol" w:cs="Segoe UI Symbol"/>
                <w:b/>
                <w:i/>
                <w:iCs/>
                <w:color w:val="202122"/>
                <w:sz w:val="24"/>
                <w:shd w:val="clear" w:color="auto" w:fill="FFFFFF"/>
              </w:rPr>
              <w:t>✓</w:t>
            </w:r>
          </w:p>
        </w:tc>
        <w:tc>
          <w:tcPr>
            <w:tcW w:w="509" w:type="pct"/>
            <w:tcBorders>
              <w:top w:val="nil"/>
              <w:left w:val="nil"/>
              <w:bottom w:val="single" w:sz="4" w:space="0" w:color="auto"/>
              <w:right w:val="single" w:sz="4" w:space="0" w:color="auto"/>
            </w:tcBorders>
            <w:shd w:val="clear" w:color="auto" w:fill="auto"/>
            <w:noWrap/>
            <w:vAlign w:val="center"/>
          </w:tcPr>
          <w:p w:rsidR="003C5D65" w:rsidRPr="000F1AA5" w:rsidRDefault="003C5D65" w:rsidP="007F24A7">
            <w:pPr>
              <w:widowControl/>
              <w:jc w:val="center"/>
              <w:rPr>
                <w:rFonts w:eastAsia="Calibri"/>
                <w:b/>
                <w:i/>
                <w:sz w:val="24"/>
              </w:rPr>
            </w:pPr>
          </w:p>
        </w:tc>
      </w:tr>
    </w:tbl>
    <w:p w:rsidR="0086587D" w:rsidRDefault="0086587D"/>
    <w:sectPr w:rsidR="0086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F606D"/>
    <w:multiLevelType w:val="hybridMultilevel"/>
    <w:tmpl w:val="FEE41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14"/>
    <w:rsid w:val="003C5D65"/>
    <w:rsid w:val="0086587D"/>
    <w:rsid w:val="00CF1DDE"/>
    <w:rsid w:val="00DF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9F4C3-57EE-4E8A-927A-6FDAED5B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D65"/>
    <w:pPr>
      <w:widowControl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C5D65"/>
    <w:pPr>
      <w:keepNext/>
      <w:keepLines/>
      <w:outlineLvl w:val="1"/>
    </w:pPr>
    <w:rPr>
      <w:b/>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D65"/>
    <w:rPr>
      <w:rFonts w:ascii="Times New Roman" w:eastAsia="Times New Roman" w:hAnsi="Times New Roman" w:cs="Times New Roman"/>
      <w:b/>
      <w:sz w:val="28"/>
      <w:szCs w:val="36"/>
    </w:rPr>
  </w:style>
  <w:style w:type="character" w:styleId="Strong">
    <w:name w:val="Strong"/>
    <w:basedOn w:val="DefaultParagraphFont"/>
    <w:uiPriority w:val="22"/>
    <w:qFormat/>
    <w:rsid w:val="00CF1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0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DrLubna</dc:creator>
  <cp:keywords/>
  <dc:description/>
  <cp:lastModifiedBy>DrLubna</cp:lastModifiedBy>
  <cp:revision>2</cp:revision>
  <dcterms:created xsi:type="dcterms:W3CDTF">2025-05-10T09:09:00Z</dcterms:created>
  <dcterms:modified xsi:type="dcterms:W3CDTF">2025-05-10T09:34:00Z</dcterms:modified>
</cp:coreProperties>
</file>