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bCs/>
          <w:color w:val="1F3864"/>
          <w:sz w:val="28"/>
          <w:szCs w:val="28"/>
        </w:rPr>
        <w:t>RESEARCH PROJECT PROPOSAL FORM</w:t>
      </w:r>
    </w:p>
    <w:p>
      <w:pPr>
        <w:pStyle w:val="Normal"/>
        <w:spacing w:before="0" w:after="60"/>
        <w:jc w:val="center"/>
        <w:rPr/>
      </w:pPr>
      <w:r>
        <w:rPr>
          <w:b/>
          <w:bCs/>
          <w:sz w:val="26"/>
          <w:szCs w:val="26"/>
        </w:rPr>
        <w:t>Influence of Generative AI on Metacognitive Skills</w:t>
      </w:r>
    </w:p>
    <w:p>
      <w:pPr>
        <w:pStyle w:val="Normal"/>
        <w:spacing w:before="0" w:after="240"/>
        <w:jc w:val="center"/>
        <w:rPr/>
      </w:pPr>
      <w:r>
        <w:rPr>
          <w:b/>
          <w:bCs/>
          <w:i/>
          <w:iCs/>
          <w:sz w:val="22"/>
          <w:szCs w:val="22"/>
        </w:rPr>
        <w:t>(Planning &amp; Self-Evaluation)</w:t>
      </w:r>
    </w:p>
    <w:p>
      <w:pPr>
        <w:pStyle w:val="Normal"/>
        <w:spacing w:before="0" w:after="80"/>
        <w:jc w:val="center"/>
        <w:rPr/>
      </w:pPr>
      <w:r>
        <w:rPr>
          <w:b/>
          <w:bCs/>
          <w:color w:val="1F3864"/>
          <w:sz w:val="22"/>
          <w:szCs w:val="22"/>
        </w:rPr>
        <w:t>Group Members</w:t>
      </w:r>
    </w:p>
    <w:p>
      <w:pPr>
        <w:pStyle w:val="Normal"/>
        <w:spacing w:before="0" w:after="60"/>
        <w:jc w:val="center"/>
        <w:rPr/>
      </w:pPr>
      <w:r>
        <w:rPr>
          <w:sz w:val="20"/>
          <w:szCs w:val="20"/>
        </w:rPr>
        <w:t>Saad Hussain (23K-0705)</w:t>
      </w:r>
    </w:p>
    <w:p>
      <w:pPr>
        <w:pStyle w:val="Normal"/>
        <w:spacing w:before="0" w:after="60"/>
        <w:jc w:val="center"/>
        <w:rPr/>
      </w:pPr>
      <w:r>
        <w:rPr>
          <w:sz w:val="20"/>
          <w:szCs w:val="20"/>
        </w:rPr>
        <w:t>Syed Farhan Ali (23K-0862)</w:t>
      </w:r>
    </w:p>
    <w:p>
      <w:pPr>
        <w:pStyle w:val="Normal"/>
        <w:spacing w:before="0" w:after="60"/>
        <w:jc w:val="center"/>
        <w:rPr/>
      </w:pPr>
      <w:r>
        <w:rPr>
          <w:sz w:val="20"/>
          <w:szCs w:val="20"/>
        </w:rPr>
        <w:t>Tanzeel Adnan (23K-0849)</w:t>
      </w:r>
    </w:p>
    <w:p>
      <w:pPr>
        <w:pStyle w:val="Normal"/>
        <w:spacing w:before="0" w:after="60"/>
        <w:jc w:val="center"/>
        <w:rPr/>
      </w:pPr>
      <w:r>
        <w:rPr>
          <w:sz w:val="20"/>
          <w:szCs w:val="20"/>
        </w:rPr>
        <w:t>Saaim Zeeshan (23K-0573)</w:t>
      </w:r>
    </w:p>
    <w:p>
      <w:pPr>
        <w:pStyle w:val="Normal"/>
        <w:spacing w:before="0" w:after="60"/>
        <w:jc w:val="center"/>
        <w:rPr/>
      </w:pPr>
      <w:r>
        <w:rPr>
          <w:sz w:val="20"/>
          <w:szCs w:val="20"/>
        </w:rPr>
        <w:t>Taha Akhtar (23K-0555)</w:t>
      </w:r>
    </w:p>
    <w:p>
      <w:pPr>
        <w:pStyle w:val="Normal"/>
        <w:spacing w:before="0" w:after="200"/>
        <w:rPr/>
      </w:pPr>
      <w:r>
        <w:rPr/>
      </w:r>
    </w:p>
    <w:p>
      <w:pPr>
        <w:pStyle w:val="Normal"/>
        <w:pBdr>
          <w:bottom w:val="single" w:sz="6" w:space="1" w:color="1F3864"/>
        </w:pBdr>
        <w:spacing w:before="0" w:after="160"/>
        <w:rPr/>
      </w:pPr>
      <w:r>
        <w:rPr/>
      </w:r>
    </w:p>
    <w:p>
      <w:pPr>
        <w:pStyle w:val="Normal"/>
        <w:spacing w:before="240" w:after="120"/>
        <w:rPr/>
      </w:pPr>
      <w:r>
        <w:rPr>
          <w:b/>
          <w:bCs/>
          <w:color w:val="1F3864"/>
          <w:sz w:val="24"/>
          <w:szCs w:val="24"/>
        </w:rPr>
        <w:t>RESEARCH PROBLEM</w:t>
      </w:r>
    </w:p>
    <w:p>
      <w:pPr>
        <w:pStyle w:val="Normal"/>
        <w:spacing w:before="0" w:after="60"/>
        <w:rPr/>
      </w:pPr>
      <w:r>
        <w:rPr>
          <w:b/>
          <w:bCs/>
          <w:sz w:val="20"/>
          <w:szCs w:val="20"/>
        </w:rPr>
        <w:t>Selected Topic:</w:t>
      </w:r>
    </w:p>
    <w:p>
      <w:pPr>
        <w:pStyle w:val="Normal"/>
        <w:spacing w:before="0" w:after="100"/>
        <w:jc w:val="both"/>
        <w:rPr/>
      </w:pPr>
      <w:r>
        <w:rPr>
          <w:sz w:val="20"/>
          <w:szCs w:val="20"/>
        </w:rPr>
        <w:t>Influence of Generative AI on Metacognitive Skills (Planning &amp; Self-Evaluation)</w:t>
      </w:r>
    </w:p>
    <w:p>
      <w:pPr>
        <w:pStyle w:val="Normal"/>
        <w:spacing w:before="0" w:after="200"/>
        <w:rPr/>
      </w:pPr>
      <w:r>
        <w:rPr/>
      </w:r>
    </w:p>
    <w:p>
      <w:pPr>
        <w:pStyle w:val="Normal"/>
        <w:spacing w:before="240" w:after="120"/>
        <w:rPr/>
      </w:pPr>
      <w:r>
        <w:rPr>
          <w:b/>
          <w:bCs/>
          <w:color w:val="1F3864"/>
          <w:sz w:val="24"/>
          <w:szCs w:val="24"/>
        </w:rPr>
        <w:t>RESEARCH QUESTION / HYPOTHESIS</w:t>
      </w:r>
    </w:p>
    <w:p>
      <w:pPr>
        <w:pStyle w:val="Normal"/>
        <w:spacing w:before="0" w:after="60"/>
        <w:rPr/>
      </w:pPr>
      <w:r>
        <w:rPr>
          <w:b/>
          <w:bCs/>
          <w:sz w:val="20"/>
          <w:szCs w:val="20"/>
        </w:rPr>
        <w:t>Research Question:</w:t>
      </w:r>
    </w:p>
    <w:p>
      <w:pPr>
        <w:pStyle w:val="Normal"/>
        <w:spacing w:before="0" w:after="160"/>
        <w:jc w:val="both"/>
        <w:rPr/>
      </w:pPr>
      <w:r>
        <w:rPr>
          <w:sz w:val="20"/>
          <w:szCs w:val="20"/>
        </w:rPr>
        <w:t>To what extent does the use of generative AI tools (e.g., ChatGPT) affect the metacognitive skills — specifically planning and self-evaluation — of undergraduate students in academic settings?</w:t>
      </w:r>
    </w:p>
    <w:p>
      <w:pPr>
        <w:pStyle w:val="Normal"/>
        <w:spacing w:before="0" w:after="60"/>
        <w:rPr/>
      </w:pPr>
      <w:r>
        <w:rPr>
          <w:b/>
          <w:bCs/>
          <w:sz w:val="20"/>
          <w:szCs w:val="20"/>
        </w:rPr>
        <w:t>Hypothesis:</w:t>
      </w:r>
    </w:p>
    <w:p>
      <w:pPr>
        <w:pStyle w:val="Normal"/>
        <w:spacing w:before="0" w:after="200"/>
        <w:jc w:val="both"/>
        <w:rPr/>
      </w:pPr>
      <w:r>
        <w:rPr>
          <w:sz w:val="20"/>
          <w:szCs w:val="20"/>
        </w:rPr>
        <w:t>Undergraduate students who frequently use generative AI tools exhibit a statistically significant decline in self-directed metacognitive behaviors (planning and self-evaluation) compared to those who use such tools infrequently or not at all.</w:t>
      </w:r>
    </w:p>
    <w:p>
      <w:pPr>
        <w:pStyle w:val="Normal"/>
        <w:spacing w:before="240" w:after="120"/>
        <w:rPr/>
      </w:pPr>
      <w:r>
        <w:rPr>
          <w:b/>
          <w:bCs/>
          <w:color w:val="1F3864"/>
          <w:sz w:val="24"/>
          <w:szCs w:val="24"/>
        </w:rPr>
        <w:t>PURPOSE</w:t>
      </w:r>
    </w:p>
    <w:p>
      <w:pPr>
        <w:pStyle w:val="Normal"/>
        <w:spacing w:before="0" w:after="60"/>
        <w:rPr/>
      </w:pPr>
      <w:r>
        <w:rPr>
          <w:b/>
          <w:bCs/>
          <w:sz w:val="20"/>
          <w:szCs w:val="20"/>
        </w:rPr>
        <w:t>Purpose Statement:</w:t>
      </w:r>
    </w:p>
    <w:p>
      <w:pPr>
        <w:pStyle w:val="Normal"/>
        <w:spacing w:before="0" w:after="200"/>
        <w:jc w:val="both"/>
        <w:rPr/>
      </w:pPr>
      <w:r>
        <w:rPr>
          <w:sz w:val="20"/>
          <w:szCs w:val="20"/>
        </w:rPr>
        <w:t>The purpose of this quantitative study is to investigate the influence of generative AI tool usage on the metacognitive skill development of undergraduate university students at FAST NUCES Karachi. The study aims to identify patterns in planning and self-evaluation behaviors as AI tools become increasingly integrated into academic work.</w:t>
      </w:r>
    </w:p>
    <w:p>
      <w:pPr>
        <w:pStyle w:val="Normal"/>
        <w:pBdr>
          <w:bottom w:val="single" w:sz="6" w:space="1" w:color="1F3864"/>
        </w:pBdr>
        <w:spacing w:before="0" w:after="160"/>
        <w:rPr/>
      </w:pPr>
      <w:r>
        <w:rPr/>
      </w:r>
    </w:p>
    <w:p>
      <w:pPr>
        <w:pStyle w:val="Normal"/>
        <w:spacing w:before="240" w:after="120"/>
        <w:rPr/>
      </w:pPr>
      <w:r>
        <w:rPr>
          <w:b/>
          <w:bCs/>
          <w:color w:val="1F3864"/>
          <w:sz w:val="24"/>
          <w:szCs w:val="24"/>
        </w:rPr>
        <w:t>RELEVANCE AND BENEFITS OF THE STUDY</w:t>
      </w:r>
    </w:p>
    <w:p>
      <w:pPr>
        <w:pStyle w:val="Normal"/>
        <w:spacing w:before="0" w:after="120"/>
        <w:rPr/>
      </w:pPr>
      <w:r>
        <w:rPr/>
      </w:r>
    </w:p>
    <w:tbl>
      <w:tblPr>
        <w:tblW w:w="9360" w:type="dxa"/>
        <w:jc w:val="left"/>
        <w:tblInd w:w="0" w:type="dxa"/>
        <w:tblLayout w:type="fixed"/>
        <w:tblCellMar>
          <w:top w:w="100" w:type="dxa"/>
          <w:left w:w="120" w:type="dxa"/>
          <w:bottom w:w="100" w:type="dxa"/>
          <w:right w:w="120" w:type="dxa"/>
        </w:tblCellMar>
      </w:tblPr>
      <w:tblGrid>
        <w:gridCol w:w="2340"/>
        <w:gridCol w:w="2340"/>
        <w:gridCol w:w="2340"/>
        <w:gridCol w:w="2339"/>
      </w:tblGrid>
      <w:tr>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spacing w:before="0" w:after="60"/>
              <w:rPr/>
            </w:pPr>
            <w:r>
              <w:rPr>
                <w:b/>
                <w:bCs/>
                <w:sz w:val="20"/>
                <w:szCs w:val="20"/>
              </w:rPr>
              <w:t>Academic Relevance</w:t>
            </w:r>
          </w:p>
          <w:p>
            <w:pPr>
              <w:pStyle w:val="Normal"/>
              <w:jc w:val="both"/>
              <w:rPr/>
            </w:pPr>
            <w:r>
              <w:rPr>
                <w:sz w:val="20"/>
                <w:szCs w:val="20"/>
              </w:rPr>
              <w:t>Addresses a critical gap in understanding how emerging AI technologies reshape student learning strategies and self-regulation in higher education.</w:t>
            </w:r>
          </w:p>
        </w:tc>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spacing w:before="0" w:after="60"/>
              <w:rPr/>
            </w:pPr>
            <w:r>
              <w:rPr>
                <w:b/>
                <w:bCs/>
                <w:sz w:val="20"/>
                <w:szCs w:val="20"/>
              </w:rPr>
              <w:t>Practical Benefits</w:t>
            </w:r>
          </w:p>
          <w:p>
            <w:pPr>
              <w:pStyle w:val="Normal"/>
              <w:jc w:val="both"/>
              <w:rPr/>
            </w:pPr>
            <w:r>
              <w:rPr>
                <w:sz w:val="20"/>
                <w:szCs w:val="20"/>
              </w:rPr>
              <w:t>Findings will guide educators and policymakers in designing AI-integrated curricula that preserve and strengthen metacognitive development.</w:t>
            </w:r>
          </w:p>
        </w:tc>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spacing w:before="0" w:after="60"/>
              <w:rPr/>
            </w:pPr>
            <w:r>
              <w:rPr>
                <w:b/>
                <w:bCs/>
                <w:sz w:val="20"/>
                <w:szCs w:val="20"/>
              </w:rPr>
              <w:t>Student Impact</w:t>
            </w:r>
          </w:p>
          <w:p>
            <w:pPr>
              <w:pStyle w:val="Normal"/>
              <w:jc w:val="both"/>
              <w:rPr/>
            </w:pPr>
            <w:r>
              <w:rPr>
                <w:sz w:val="20"/>
                <w:szCs w:val="20"/>
              </w:rPr>
              <w:t>Raises awareness among students about their cognitive habits and the risk of over-reliance on AI, promoting more intentional academic engagement.</w:t>
            </w:r>
          </w:p>
        </w:tc>
        <w:tc>
          <w:tcPr>
            <w:tcW w:w="2339" w:type="dxa"/>
            <w:tcBorders>
              <w:top w:val="single" w:sz="2" w:space="0" w:color="CCCCCC"/>
              <w:left w:val="single" w:sz="2" w:space="0" w:color="CCCCCC"/>
              <w:bottom w:val="single" w:sz="2" w:space="0" w:color="CCCCCC"/>
              <w:right w:val="single" w:sz="2" w:space="0" w:color="CCCCCC"/>
            </w:tcBorders>
            <w:shd w:fill="D5E8F0" w:val="clear"/>
          </w:tcPr>
          <w:p>
            <w:pPr>
              <w:pStyle w:val="Normal"/>
              <w:spacing w:before="0" w:after="60"/>
              <w:rPr/>
            </w:pPr>
            <w:r>
              <w:rPr>
                <w:b/>
                <w:bCs/>
                <w:sz w:val="20"/>
                <w:szCs w:val="20"/>
              </w:rPr>
              <w:t>Institutional Benefit</w:t>
            </w:r>
          </w:p>
          <w:p>
            <w:pPr>
              <w:pStyle w:val="Normal"/>
              <w:jc w:val="both"/>
              <w:rPr/>
            </w:pPr>
            <w:r>
              <w:rPr>
                <w:sz w:val="20"/>
                <w:szCs w:val="20"/>
              </w:rPr>
              <w:t>Provides FAST NUCES Karachi with evidence-based insights for developing responsible AI usage policies aligned with educational quality standards.</w:t>
            </w:r>
          </w:p>
        </w:tc>
      </w:tr>
    </w:tbl>
    <w:p>
      <w:pPr>
        <w:pStyle w:val="Normal"/>
        <w:spacing w:before="0" w:after="200"/>
        <w:rPr/>
      </w:pPr>
      <w:r>
        <w:rPr/>
      </w:r>
    </w:p>
    <w:p>
      <w:pPr>
        <w:pStyle w:val="Normal"/>
        <w:pBdr>
          <w:bottom w:val="single" w:sz="6" w:space="1" w:color="1F3864"/>
        </w:pBdr>
        <w:spacing w:before="0" w:after="160"/>
        <w:rPr/>
      </w:pPr>
      <w:r>
        <w:rPr/>
      </w:r>
    </w:p>
    <w:p>
      <w:pPr>
        <w:pStyle w:val="Normal"/>
        <w:pBdr>
          <w:bottom w:val="single" w:sz="6" w:space="1" w:color="1F3864"/>
        </w:pBdr>
        <w:spacing w:before="0" w:after="160"/>
        <w:rPr/>
      </w:pPr>
      <w:r>
        <w:rPr/>
      </w:r>
    </w:p>
    <w:p>
      <w:pPr>
        <w:pStyle w:val="Normal"/>
        <w:spacing w:before="240" w:after="120"/>
        <w:rPr/>
      </w:pPr>
      <w:r>
        <w:rPr>
          <w:b/>
          <w:bCs/>
          <w:color w:val="1F3864"/>
          <w:sz w:val="24"/>
          <w:szCs w:val="24"/>
        </w:rPr>
        <w:t>RESEARCH METHODOLOGY</w:t>
      </w:r>
    </w:p>
    <w:p>
      <w:pPr>
        <w:pStyle w:val="Normal"/>
        <w:spacing w:before="0" w:after="120"/>
        <w:rPr/>
      </w:pPr>
      <w:r>
        <w:rPr/>
      </w:r>
    </w:p>
    <w:tbl>
      <w:tblPr>
        <w:tblW w:w="9360" w:type="dxa"/>
        <w:jc w:val="left"/>
        <w:tblInd w:w="0" w:type="dxa"/>
        <w:tblLayout w:type="fixed"/>
        <w:tblCellMar>
          <w:top w:w="100" w:type="dxa"/>
          <w:left w:w="140" w:type="dxa"/>
          <w:bottom w:w="100" w:type="dxa"/>
          <w:right w:w="140" w:type="dxa"/>
        </w:tblCellMar>
      </w:tblPr>
      <w:tblGrid>
        <w:gridCol w:w="1799"/>
        <w:gridCol w:w="7560"/>
      </w:tblGrid>
      <w:tr>
        <w:trPr/>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b/>
                <w:bCs/>
                <w:color w:val="FFFFFF"/>
                <w:sz w:val="20"/>
                <w:szCs w:val="20"/>
              </w:rPr>
              <w:t>Study Design</w:t>
            </w:r>
          </w:p>
        </w:tc>
        <w:tc>
          <w:tcPr>
            <w:tcW w:w="7560" w:type="dxa"/>
            <w:tcBorders>
              <w:top w:val="single" w:sz="2" w:space="0" w:color="CCCCCC"/>
              <w:left w:val="single" w:sz="2" w:space="0" w:color="CCCCCC"/>
              <w:bottom w:val="single" w:sz="2" w:space="0" w:color="CCCCCC"/>
              <w:right w:val="single" w:sz="2" w:space="0" w:color="CCCCCC"/>
            </w:tcBorders>
          </w:tcPr>
          <w:p>
            <w:pPr>
              <w:pStyle w:val="Normal"/>
              <w:jc w:val="both"/>
              <w:rPr/>
            </w:pPr>
            <w:r>
              <w:rPr>
                <w:sz w:val="20"/>
                <w:szCs w:val="20"/>
              </w:rPr>
              <w:t>Quantitative research design using an online survey questionnaire to measure and statistically analyze the relationship between generative AI usage and metacognitive skills (planning and self-evaluation) among undergraduate students.</w:t>
            </w:r>
          </w:p>
        </w:tc>
      </w:tr>
      <w:tr>
        <w:trPr/>
        <w:tc>
          <w:tcPr>
            <w:tcW w:w="17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0"/>
                <w:szCs w:val="20"/>
              </w:rPr>
              <w:t>Sample</w:t>
            </w:r>
          </w:p>
        </w:tc>
        <w:tc>
          <w:tcPr>
            <w:tcW w:w="7560" w:type="dxa"/>
            <w:tcBorders>
              <w:top w:val="single" w:sz="2" w:space="0" w:color="CCCCCC"/>
              <w:left w:val="single" w:sz="2" w:space="0" w:color="CCCCCC"/>
              <w:bottom w:val="single" w:sz="2" w:space="0" w:color="CCCCCC"/>
              <w:right w:val="single" w:sz="2" w:space="0" w:color="CCCCCC"/>
            </w:tcBorders>
            <w:shd w:fill="D5E8F0" w:val="clear"/>
          </w:tcPr>
          <w:p>
            <w:pPr>
              <w:pStyle w:val="Normal"/>
              <w:jc w:val="both"/>
              <w:rPr/>
            </w:pPr>
            <w:r>
              <w:rPr>
                <w:sz w:val="20"/>
                <w:szCs w:val="20"/>
              </w:rPr>
              <w:t>Undergraduate students (n = 73) from FAST NUCES Karachi, selected using stratified random sampling across CS, SE, AI, and DS departments.</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Data Collection</w:t>
            </w:r>
          </w:p>
        </w:tc>
        <w:tc>
          <w:tcPr>
            <w:tcW w:w="7560" w:type="dxa"/>
            <w:tcBorders>
              <w:top w:val="single" w:sz="2" w:space="0" w:color="CCCCCC"/>
              <w:left w:val="single" w:sz="2" w:space="0" w:color="CCCCCC"/>
              <w:bottom w:val="single" w:sz="2" w:space="0" w:color="CCCCCC"/>
              <w:right w:val="single" w:sz="2" w:space="0" w:color="CCCCCC"/>
            </w:tcBorders>
          </w:tcPr>
          <w:p>
            <w:pPr>
              <w:pStyle w:val="Normal"/>
              <w:jc w:val="both"/>
              <w:rPr/>
            </w:pPr>
            <w:r>
              <w:rPr>
                <w:sz w:val="20"/>
                <w:szCs w:val="20"/>
              </w:rPr>
              <w:t>Online Likert-scale questionnaire measuring metacognitive awareness (MAI), AI usage frequency, and task-completion strategies across dimensions of planning and self-evaluation.</w:t>
            </w:r>
          </w:p>
        </w:tc>
      </w:tr>
      <w:tr>
        <w:trPr/>
        <w:tc>
          <w:tcPr>
            <w:tcW w:w="179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0"/>
                <w:szCs w:val="20"/>
              </w:rPr>
              <w:t>Statistical Analysis</w:t>
            </w:r>
          </w:p>
        </w:tc>
        <w:tc>
          <w:tcPr>
            <w:tcW w:w="7560" w:type="dxa"/>
            <w:tcBorders>
              <w:top w:val="single" w:sz="2" w:space="0" w:color="CCCCCC"/>
              <w:left w:val="single" w:sz="2" w:space="0" w:color="CCCCCC"/>
              <w:bottom w:val="single" w:sz="2" w:space="0" w:color="CCCCCC"/>
              <w:right w:val="single" w:sz="2" w:space="0" w:color="CCCCCC"/>
            </w:tcBorders>
            <w:shd w:fill="D5E8F0" w:val="clear"/>
          </w:tcPr>
          <w:p>
            <w:pPr>
              <w:pStyle w:val="Normal"/>
              <w:jc w:val="both"/>
              <w:rPr/>
            </w:pPr>
            <w:r>
              <w:rPr>
                <w:sz w:val="20"/>
                <w:szCs w:val="20"/>
              </w:rPr>
              <w:t>Descriptive statistics, Pearson correlation, and regression analysis using SPSS to examine relationships between AI usage and metacognitive scores.</w:t>
            </w:r>
          </w:p>
        </w:tc>
      </w:tr>
    </w:tbl>
    <w:p>
      <w:pPr>
        <w:pStyle w:val="Normal"/>
        <w:spacing w:before="0" w:after="200"/>
        <w:rPr/>
      </w:pPr>
      <w:r>
        <w:rPr/>
      </w:r>
    </w:p>
    <w:sectPr>
      <w:type w:val="nextPage"/>
      <w:pgSz w:w="12240" w:h="15840"/>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7"/>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345</Words>
  <Characters>2345</Characters>
  <CharactersWithSpaces>2654</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2026-05-06T15:25:17Z</dcterms:created>
  <dc:creator>Un-named</dc:creator>
  <dc:description/>
  <dc:language>en-US</dc:language>
  <cp:lastModifiedBy/>
  <dcterms:modified xsi:type="dcterms:W3CDTF">2026-05-11T10:52:01Z</dcterms:modified>
  <cp:revision>2</cp:revision>
  <dc:subject/>
  <dc:title/>
</cp:coreProperties>
</file>