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Pr>
        <w:drawing>
          <wp:inline distB="114300" distT="114300" distL="114300" distR="114300">
            <wp:extent cx="2739009" cy="156019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739009" cy="156019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8)</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ojoee@googlegroups.com</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week, we decided to write our codes in a modular way. We divided some tasks related with coding, and then we made assigned these to our group members. We made researches individually and started coding. In Table 1, it can be seen what these parts are and whom they are assigned to.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tbl>
      <w:tblPr>
        <w:tblStyle w:val="Table1"/>
        <w:tblW w:w="4395.0" w:type="dxa"/>
        <w:jc w:val="left"/>
        <w:tblInd w:w="2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tblGridChange w:id="0">
          <w:tblGrid>
            <w:gridCol w:w="4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Motor driver: </w:t>
            </w:r>
            <w:r w:rsidDel="00000000" w:rsidR="00000000" w:rsidRPr="00000000">
              <w:rPr>
                <w:rFonts w:ascii="Times New Roman" w:cs="Times New Roman" w:eastAsia="Times New Roman" w:hAnsi="Times New Roman"/>
                <w:i w:val="1"/>
                <w:rtl w:val="0"/>
              </w:rPr>
              <w:t xml:space="preserve">Abdullah Aslam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sensor: </w:t>
            </w:r>
            <w:r w:rsidDel="00000000" w:rsidR="00000000" w:rsidRPr="00000000">
              <w:rPr>
                <w:rFonts w:ascii="Times New Roman" w:cs="Times New Roman" w:eastAsia="Times New Roman" w:hAnsi="Times New Roman"/>
                <w:i w:val="1"/>
                <w:rtl w:val="0"/>
              </w:rPr>
              <w:t xml:space="preserve">Anar Abdullayev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LED distance sensor: </w:t>
            </w:r>
            <w:r w:rsidDel="00000000" w:rsidR="00000000" w:rsidRPr="00000000">
              <w:rPr>
                <w:rFonts w:ascii="Times New Roman" w:cs="Times New Roman" w:eastAsia="Times New Roman" w:hAnsi="Times New Roman"/>
                <w:i w:val="1"/>
                <w:rtl w:val="0"/>
              </w:rPr>
              <w:t xml:space="preserve">Bulut Ulukapı</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Feedback control: </w:t>
            </w:r>
            <w:r w:rsidDel="00000000" w:rsidR="00000000" w:rsidRPr="00000000">
              <w:rPr>
                <w:rFonts w:ascii="Times New Roman" w:cs="Times New Roman" w:eastAsia="Times New Roman" w:hAnsi="Times New Roman"/>
                <w:i w:val="1"/>
                <w:rtl w:val="0"/>
              </w:rPr>
              <w:t xml:space="preserve">Syed Saad Saif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Flags: </w:t>
            </w:r>
            <w:r w:rsidDel="00000000" w:rsidR="00000000" w:rsidRPr="00000000">
              <w:rPr>
                <w:rFonts w:ascii="Times New Roman" w:cs="Times New Roman" w:eastAsia="Times New Roman" w:hAnsi="Times New Roman"/>
                <w:i w:val="1"/>
                <w:rtl w:val="0"/>
              </w:rPr>
              <w:t xml:space="preserve">Umut Can Serçe</w:t>
            </w:r>
          </w:p>
        </w:tc>
      </w:tr>
    </w:tbl>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The list of modules and their assignments</w:t>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equipment and components that are purchased in last weeks, we purchased a chassis for tests and trial.</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also a standards committee meeting. Before the meeting, we communicated with the other group and made an informal meeting. After these informal and formal meetings, some decisions are made. The agreements which are made on these meetings can be seen on the Table 2.</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leave command is given while turning, the optimal direction for leaving must be decided.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radius of the curvature for turning is 100 cm.</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speed of the mock up robot is 12 cm/s.</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between the center of the robot and ground needs to in between 12 cm and 16 cm.</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Infrared LED’s needs to be horizontal.</w:t>
            </w:r>
          </w:p>
        </w:tc>
      </w:tr>
    </w:tbl>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The decisions made in the standard committee meeting 3</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24/11/2017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