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2AB7F" w14:textId="77777777" w:rsidR="00C5231F" w:rsidRPr="00C5231F" w:rsidRDefault="00C5231F" w:rsidP="00134695">
      <w:pPr>
        <w:pStyle w:val="Heading1"/>
        <w:jc w:val="center"/>
        <w:rPr>
          <w:rStyle w:val="IntenseReference"/>
        </w:rPr>
      </w:pPr>
      <w:proofErr w:type="spellStart"/>
      <w:r w:rsidRPr="00C5231F">
        <w:rPr>
          <w:rStyle w:val="IntenseReference"/>
        </w:rPr>
        <w:t>Emart</w:t>
      </w:r>
      <w:proofErr w:type="spellEnd"/>
      <w:r w:rsidRPr="00C5231F">
        <w:rPr>
          <w:rStyle w:val="IntenseReference"/>
        </w:rPr>
        <w:t xml:space="preserve"> Sales and Profit Dashboard Report</w:t>
      </w:r>
    </w:p>
    <w:p w14:paraId="1AFA22C5" w14:textId="77777777" w:rsidR="00C5231F" w:rsidRPr="00C5231F" w:rsidRDefault="00C5231F" w:rsidP="00C5231F">
      <w:pPr>
        <w:rPr>
          <w:rStyle w:val="IntenseReference"/>
        </w:rPr>
      </w:pPr>
      <w:r w:rsidRPr="00C5231F">
        <w:rPr>
          <w:rStyle w:val="IntenseReference"/>
        </w:rPr>
        <w:t>Summary</w:t>
      </w:r>
    </w:p>
    <w:p w14:paraId="0914AE2B" w14:textId="77777777" w:rsidR="00C5231F" w:rsidRPr="00C5231F" w:rsidRDefault="00C5231F" w:rsidP="00C5231F">
      <w:pPr>
        <w:rPr>
          <w:rStyle w:val="IntenseReference"/>
        </w:rPr>
      </w:pPr>
      <w:r w:rsidRPr="00C5231F">
        <w:rPr>
          <w:rStyle w:val="IntenseReference"/>
        </w:rPr>
        <w:t xml:space="preserve">This report analyzes </w:t>
      </w:r>
      <w:proofErr w:type="spellStart"/>
      <w:r w:rsidRPr="00C5231F">
        <w:rPr>
          <w:rStyle w:val="IntenseReference"/>
        </w:rPr>
        <w:t>Emart’s</w:t>
      </w:r>
      <w:proofErr w:type="spellEnd"/>
      <w:r w:rsidRPr="00C5231F">
        <w:rPr>
          <w:rStyle w:val="IntenseReference"/>
        </w:rPr>
        <w:t xml:space="preserve"> sales and profit performance from June 29, 2024, to June 29, 2025, using the dataset "</w:t>
      </w:r>
      <w:proofErr w:type="spellStart"/>
      <w:r w:rsidRPr="00C5231F">
        <w:rPr>
          <w:rStyle w:val="IntenseReference"/>
        </w:rPr>
        <w:t>Emart</w:t>
      </w:r>
      <w:proofErr w:type="spellEnd"/>
      <w:r w:rsidRPr="00C5231F">
        <w:rPr>
          <w:rStyle w:val="IntenseReference"/>
        </w:rPr>
        <w:t xml:space="preserve"> Total-Supermarket-Sales clean.xlsx", which includes 10,001 transactions across multiple product categories, countries, and customer types. Key findings indicate that Electronics dominate revenue due to high unit prices, while Groceries contribute significantly through sales volume. The USA and India are the top profit-generating markets, and sales trends remain stable with occasional peaks. Additionally, Normal customers slightly outperform Members in revenue contribution.</w:t>
      </w:r>
    </w:p>
    <w:p w14:paraId="796A6FD9" w14:textId="77777777" w:rsidR="00C5231F" w:rsidRPr="00C5231F" w:rsidRDefault="00C5231F" w:rsidP="00C5231F">
      <w:pPr>
        <w:rPr>
          <w:rStyle w:val="IntenseReference"/>
        </w:rPr>
      </w:pPr>
      <w:r w:rsidRPr="00C5231F">
        <w:rPr>
          <w:rStyle w:val="IntenseReference"/>
        </w:rPr>
        <w:pict w14:anchorId="3CE26DE7">
          <v:rect id="_x0000_i1049" style="width:0;height:.75pt" o:hrstd="t" o:hrnoshade="t" o:hr="t" fillcolor="#f8faff" stroked="f"/>
        </w:pict>
      </w:r>
    </w:p>
    <w:p w14:paraId="0351DBEF" w14:textId="77777777" w:rsidR="00C5231F" w:rsidRPr="00C5231F" w:rsidRDefault="00C5231F" w:rsidP="00C5231F">
      <w:pPr>
        <w:rPr>
          <w:rStyle w:val="IntenseReference"/>
        </w:rPr>
      </w:pPr>
      <w:r w:rsidRPr="00C5231F">
        <w:rPr>
          <w:rStyle w:val="IntenseReference"/>
        </w:rPr>
        <w:t>Key Findings</w:t>
      </w:r>
    </w:p>
    <w:p w14:paraId="766F1C4A" w14:textId="77777777" w:rsidR="00C5231F" w:rsidRPr="00C5231F" w:rsidRDefault="00C5231F" w:rsidP="00C5231F">
      <w:pPr>
        <w:rPr>
          <w:rStyle w:val="IntenseReference"/>
        </w:rPr>
      </w:pPr>
      <w:r w:rsidRPr="00C5231F">
        <w:rPr>
          <w:rStyle w:val="IntenseReference"/>
        </w:rPr>
        <w:t>1. Revenue by Product Category</w:t>
      </w:r>
    </w:p>
    <w:p w14:paraId="1F9D3321" w14:textId="77777777" w:rsidR="00C5231F" w:rsidRPr="00C5231F" w:rsidRDefault="00C5231F" w:rsidP="00C5231F">
      <w:pPr>
        <w:numPr>
          <w:ilvl w:val="0"/>
          <w:numId w:val="4"/>
        </w:numPr>
        <w:rPr>
          <w:rStyle w:val="IntenseReference"/>
        </w:rPr>
      </w:pPr>
      <w:r w:rsidRPr="00C5231F">
        <w:rPr>
          <w:rStyle w:val="IntenseReference"/>
        </w:rPr>
        <w:t>Electronics generate the highest revenue, driven by premium-priced items such as:</w:t>
      </w:r>
    </w:p>
    <w:p w14:paraId="6CBF4749" w14:textId="77777777" w:rsidR="00C5231F" w:rsidRPr="00C5231F" w:rsidRDefault="00C5231F" w:rsidP="00C5231F">
      <w:pPr>
        <w:numPr>
          <w:ilvl w:val="1"/>
          <w:numId w:val="4"/>
        </w:numPr>
        <w:rPr>
          <w:rStyle w:val="IntenseReference"/>
        </w:rPr>
      </w:pPr>
      <w:r w:rsidRPr="00C5231F">
        <w:rPr>
          <w:rStyle w:val="IntenseReference"/>
        </w:rPr>
        <w:t>Laptops (SKU 1000, $71,500/unit) – A single transaction in Belo Horizonte, Brazil (June 24, 2025) recorded $715,000 from 10 laptops.</w:t>
      </w:r>
    </w:p>
    <w:p w14:paraId="011EB49C" w14:textId="77777777" w:rsidR="00C5231F" w:rsidRPr="00C5231F" w:rsidRDefault="00C5231F" w:rsidP="00C5231F">
      <w:pPr>
        <w:numPr>
          <w:ilvl w:val="1"/>
          <w:numId w:val="4"/>
        </w:numPr>
        <w:rPr>
          <w:rStyle w:val="IntenseReference"/>
        </w:rPr>
      </w:pPr>
      <w:r w:rsidRPr="00C5231F">
        <w:rPr>
          <w:rStyle w:val="IntenseReference"/>
        </w:rPr>
        <w:t>Smartphones (SKU 1001, $32,500/unit) – High-value sales in India and the USA contribute significantly.</w:t>
      </w:r>
    </w:p>
    <w:p w14:paraId="1203662B" w14:textId="77777777" w:rsidR="00C5231F" w:rsidRPr="00C5231F" w:rsidRDefault="00C5231F" w:rsidP="00C5231F">
      <w:pPr>
        <w:numPr>
          <w:ilvl w:val="0"/>
          <w:numId w:val="4"/>
        </w:numPr>
        <w:rPr>
          <w:rStyle w:val="IntenseReference"/>
        </w:rPr>
      </w:pPr>
      <w:r w:rsidRPr="00C5231F">
        <w:rPr>
          <w:rStyle w:val="IntenseReference"/>
        </w:rPr>
        <w:t>Groceries (e.g., Eggs, Milk, Packaged Water) have lower unit prices but drive high sales volume, making them a consistent revenue contributor.</w:t>
      </w:r>
    </w:p>
    <w:p w14:paraId="27733A85" w14:textId="77777777" w:rsidR="00C5231F" w:rsidRPr="00C5231F" w:rsidRDefault="00C5231F" w:rsidP="00C5231F">
      <w:pPr>
        <w:numPr>
          <w:ilvl w:val="0"/>
          <w:numId w:val="4"/>
        </w:numPr>
        <w:rPr>
          <w:rStyle w:val="IntenseReference"/>
        </w:rPr>
      </w:pPr>
      <w:r w:rsidRPr="00C5231F">
        <w:rPr>
          <w:rStyle w:val="IntenseReference"/>
        </w:rPr>
        <w:t>Clothing, Personal Care, Household Items, and Stationery generate moderate revenue but are less dominant compared to Electronics and Groceries.</w:t>
      </w:r>
    </w:p>
    <w:p w14:paraId="0A98B675" w14:textId="77777777" w:rsidR="00C5231F" w:rsidRPr="00C5231F" w:rsidRDefault="00C5231F" w:rsidP="00C5231F">
      <w:pPr>
        <w:rPr>
          <w:rStyle w:val="IntenseReference"/>
        </w:rPr>
      </w:pPr>
      <w:r w:rsidRPr="00C5231F">
        <w:rPr>
          <w:rStyle w:val="IntenseReference"/>
        </w:rPr>
        <w:t>2. Profit by Country</w:t>
      </w:r>
    </w:p>
    <w:p w14:paraId="1F9C4FD4" w14:textId="77777777" w:rsidR="00C5231F" w:rsidRPr="00C5231F" w:rsidRDefault="00C5231F" w:rsidP="00C5231F">
      <w:pPr>
        <w:numPr>
          <w:ilvl w:val="0"/>
          <w:numId w:val="5"/>
        </w:numPr>
        <w:rPr>
          <w:rStyle w:val="IntenseReference"/>
        </w:rPr>
      </w:pPr>
      <w:r w:rsidRPr="00C5231F">
        <w:rPr>
          <w:rStyle w:val="IntenseReference"/>
        </w:rPr>
        <w:t>Top Markets:</w:t>
      </w:r>
    </w:p>
    <w:p w14:paraId="4AAF4561" w14:textId="77777777" w:rsidR="00C5231F" w:rsidRPr="00C5231F" w:rsidRDefault="00C5231F" w:rsidP="00C5231F">
      <w:pPr>
        <w:numPr>
          <w:ilvl w:val="1"/>
          <w:numId w:val="5"/>
        </w:numPr>
        <w:rPr>
          <w:rStyle w:val="IntenseReference"/>
        </w:rPr>
      </w:pPr>
      <w:r w:rsidRPr="00C5231F">
        <w:rPr>
          <w:rStyle w:val="IntenseReference"/>
        </w:rPr>
        <w:t>USA: Highest profit contributions, driven by large Electronics transactions (e.g., $132,000 profit from a $572,000 Laptop sale in San Jose on June 28, 2024).</w:t>
      </w:r>
    </w:p>
    <w:p w14:paraId="410575C3" w14:textId="77777777" w:rsidR="00C5231F" w:rsidRPr="00C5231F" w:rsidRDefault="00C5231F" w:rsidP="00C5231F">
      <w:pPr>
        <w:numPr>
          <w:ilvl w:val="1"/>
          <w:numId w:val="5"/>
        </w:numPr>
        <w:rPr>
          <w:rStyle w:val="IntenseReference"/>
        </w:rPr>
      </w:pPr>
      <w:r w:rsidRPr="00C5231F">
        <w:rPr>
          <w:rStyle w:val="IntenseReference"/>
        </w:rPr>
        <w:t>India: Strong performance due to frequent high-value Electronics sales (e.g., Tablets, Smartphones).</w:t>
      </w:r>
    </w:p>
    <w:p w14:paraId="0983A1FE" w14:textId="77777777" w:rsidR="00C5231F" w:rsidRPr="00C5231F" w:rsidRDefault="00C5231F" w:rsidP="00C5231F">
      <w:pPr>
        <w:numPr>
          <w:ilvl w:val="0"/>
          <w:numId w:val="5"/>
        </w:numPr>
        <w:rPr>
          <w:rStyle w:val="IntenseReference"/>
        </w:rPr>
      </w:pPr>
      <w:r w:rsidRPr="00C5231F">
        <w:rPr>
          <w:rStyle w:val="IntenseReference"/>
        </w:rPr>
        <w:lastRenderedPageBreak/>
        <w:t>Secondary Markets:</w:t>
      </w:r>
    </w:p>
    <w:p w14:paraId="19EA532F" w14:textId="77777777" w:rsidR="00C5231F" w:rsidRPr="00C5231F" w:rsidRDefault="00C5231F" w:rsidP="00C5231F">
      <w:pPr>
        <w:numPr>
          <w:ilvl w:val="1"/>
          <w:numId w:val="5"/>
        </w:numPr>
        <w:rPr>
          <w:rStyle w:val="IntenseReference"/>
        </w:rPr>
      </w:pPr>
      <w:r w:rsidRPr="00C5231F">
        <w:rPr>
          <w:rStyle w:val="IntenseReference"/>
        </w:rPr>
        <w:t>UAE, Brazil, and Canada show growing but smaller profit contributions.</w:t>
      </w:r>
    </w:p>
    <w:p w14:paraId="4D85F79B" w14:textId="77777777" w:rsidR="00C5231F" w:rsidRPr="00C5231F" w:rsidRDefault="00C5231F" w:rsidP="00C5231F">
      <w:pPr>
        <w:numPr>
          <w:ilvl w:val="1"/>
          <w:numId w:val="5"/>
        </w:numPr>
        <w:rPr>
          <w:rStyle w:val="IntenseReference"/>
        </w:rPr>
      </w:pPr>
      <w:r w:rsidRPr="00C5231F">
        <w:rPr>
          <w:rStyle w:val="IntenseReference"/>
        </w:rPr>
        <w:t>UK, Germany, and Australia have consistent but lower margins, primarily from Groceries and Personal Care items.</w:t>
      </w:r>
    </w:p>
    <w:p w14:paraId="2778E4BB" w14:textId="77777777" w:rsidR="00C5231F" w:rsidRPr="00C5231F" w:rsidRDefault="00C5231F" w:rsidP="00C5231F">
      <w:pPr>
        <w:rPr>
          <w:rStyle w:val="IntenseReference"/>
        </w:rPr>
      </w:pPr>
      <w:r w:rsidRPr="00C5231F">
        <w:rPr>
          <w:rStyle w:val="IntenseReference"/>
        </w:rPr>
        <w:t>3. Daily Revenue Trends</w:t>
      </w:r>
    </w:p>
    <w:p w14:paraId="63EB913B" w14:textId="77777777" w:rsidR="00C5231F" w:rsidRPr="00C5231F" w:rsidRDefault="00C5231F" w:rsidP="00C5231F">
      <w:pPr>
        <w:numPr>
          <w:ilvl w:val="0"/>
          <w:numId w:val="6"/>
        </w:numPr>
        <w:rPr>
          <w:rStyle w:val="IntenseReference"/>
        </w:rPr>
      </w:pPr>
      <w:r w:rsidRPr="00C5231F">
        <w:rPr>
          <w:rStyle w:val="IntenseReference"/>
        </w:rPr>
        <w:t>Sales trends remain stable, with occasional peaks likely tied to promotions or holidays.</w:t>
      </w:r>
    </w:p>
    <w:p w14:paraId="5F2F6038" w14:textId="77777777" w:rsidR="00C5231F" w:rsidRPr="00C5231F" w:rsidRDefault="00C5231F" w:rsidP="00C5231F">
      <w:pPr>
        <w:numPr>
          <w:ilvl w:val="0"/>
          <w:numId w:val="6"/>
        </w:numPr>
        <w:rPr>
          <w:rStyle w:val="IntenseReference"/>
        </w:rPr>
      </w:pPr>
      <w:r w:rsidRPr="00C5231F">
        <w:rPr>
          <w:rStyle w:val="IntenseReference"/>
        </w:rPr>
        <w:t>Notable spikes:</w:t>
      </w:r>
    </w:p>
    <w:p w14:paraId="378B31BD" w14:textId="77777777" w:rsidR="00C5231F" w:rsidRPr="00C5231F" w:rsidRDefault="00C5231F" w:rsidP="00C5231F">
      <w:pPr>
        <w:numPr>
          <w:ilvl w:val="1"/>
          <w:numId w:val="6"/>
        </w:numPr>
        <w:rPr>
          <w:rStyle w:val="IntenseReference"/>
        </w:rPr>
      </w:pPr>
      <w:r w:rsidRPr="00C5231F">
        <w:rPr>
          <w:rStyle w:val="IntenseReference"/>
        </w:rPr>
        <w:t>June 24, 2025: A $715,000 Laptop sale in Belo Horizonte drove a revenue surge.</w:t>
      </w:r>
    </w:p>
    <w:p w14:paraId="720000FD" w14:textId="77777777" w:rsidR="00C5231F" w:rsidRPr="00C5231F" w:rsidRDefault="00C5231F" w:rsidP="00C5231F">
      <w:pPr>
        <w:numPr>
          <w:ilvl w:val="0"/>
          <w:numId w:val="6"/>
        </w:numPr>
        <w:rPr>
          <w:rStyle w:val="IntenseReference"/>
        </w:rPr>
      </w:pPr>
      <w:r w:rsidRPr="00C5231F">
        <w:rPr>
          <w:rStyle w:val="IntenseReference"/>
        </w:rPr>
        <w:t>Groceries maintain steady daily sales due to recurring demand, while Electronics cause intermittent high-revenue spikes.</w:t>
      </w:r>
    </w:p>
    <w:p w14:paraId="0532E83E" w14:textId="77777777" w:rsidR="00C5231F" w:rsidRPr="00C5231F" w:rsidRDefault="00C5231F" w:rsidP="00C5231F">
      <w:pPr>
        <w:rPr>
          <w:rStyle w:val="IntenseReference"/>
        </w:rPr>
      </w:pPr>
      <w:r w:rsidRPr="00C5231F">
        <w:rPr>
          <w:rStyle w:val="IntenseReference"/>
        </w:rPr>
        <w:t>4. Revenue by Customer Type</w:t>
      </w:r>
    </w:p>
    <w:p w14:paraId="0D044F98" w14:textId="77777777" w:rsidR="00C5231F" w:rsidRPr="00C5231F" w:rsidRDefault="00C5231F" w:rsidP="00C5231F">
      <w:pPr>
        <w:numPr>
          <w:ilvl w:val="0"/>
          <w:numId w:val="7"/>
        </w:numPr>
        <w:rPr>
          <w:rStyle w:val="IntenseReference"/>
        </w:rPr>
      </w:pPr>
      <w:r w:rsidRPr="00C5231F">
        <w:rPr>
          <w:rStyle w:val="IntenseReference"/>
        </w:rPr>
        <w:t>Normal customers (55%) slightly outperform Members (45%) in revenue contribution.</w:t>
      </w:r>
    </w:p>
    <w:p w14:paraId="796E2F1D" w14:textId="77777777" w:rsidR="00C5231F" w:rsidRPr="00C5231F" w:rsidRDefault="00C5231F" w:rsidP="00C5231F">
      <w:pPr>
        <w:numPr>
          <w:ilvl w:val="1"/>
          <w:numId w:val="7"/>
        </w:numPr>
        <w:rPr>
          <w:rStyle w:val="IntenseReference"/>
        </w:rPr>
      </w:pPr>
      <w:r w:rsidRPr="00C5231F">
        <w:rPr>
          <w:rStyle w:val="IntenseReference"/>
        </w:rPr>
        <w:t>Normal customers drive large one-time purchases (e.g., Electronics).</w:t>
      </w:r>
    </w:p>
    <w:p w14:paraId="131274E2" w14:textId="77777777" w:rsidR="00C5231F" w:rsidRPr="00C5231F" w:rsidRDefault="00C5231F" w:rsidP="00C5231F">
      <w:pPr>
        <w:numPr>
          <w:ilvl w:val="1"/>
          <w:numId w:val="7"/>
        </w:numPr>
        <w:rPr>
          <w:rStyle w:val="IntenseReference"/>
        </w:rPr>
      </w:pPr>
      <w:r w:rsidRPr="00C5231F">
        <w:rPr>
          <w:rStyle w:val="IntenseReference"/>
        </w:rPr>
        <w:t>Members show higher frequency in Grocery purchases (e.g., Coffee, Rice).</w:t>
      </w:r>
    </w:p>
    <w:p w14:paraId="461AB3A1" w14:textId="77777777" w:rsidR="00C5231F" w:rsidRPr="00C5231F" w:rsidRDefault="00C5231F" w:rsidP="00C5231F">
      <w:pPr>
        <w:rPr>
          <w:rStyle w:val="IntenseReference"/>
        </w:rPr>
      </w:pPr>
      <w:r w:rsidRPr="00C5231F">
        <w:rPr>
          <w:rStyle w:val="IntenseReference"/>
        </w:rPr>
        <w:t>5. Interesting Insight</w:t>
      </w:r>
    </w:p>
    <w:p w14:paraId="096A03CE" w14:textId="77777777" w:rsidR="00C5231F" w:rsidRPr="00C5231F" w:rsidRDefault="00C5231F" w:rsidP="00C5231F">
      <w:pPr>
        <w:numPr>
          <w:ilvl w:val="0"/>
          <w:numId w:val="8"/>
        </w:numPr>
        <w:rPr>
          <w:rStyle w:val="IntenseReference"/>
        </w:rPr>
      </w:pPr>
      <w:r w:rsidRPr="00C5231F">
        <w:rPr>
          <w:rStyle w:val="IntenseReference"/>
        </w:rPr>
        <w:t>Despite a low unit price ($9 per unit), Eggs (SKU 1023) are a high-volume sales driver, especially in India and Brazil.</w:t>
      </w:r>
    </w:p>
    <w:p w14:paraId="4320A0EB" w14:textId="77777777" w:rsidR="00C5231F" w:rsidRPr="00C5231F" w:rsidRDefault="00C5231F" w:rsidP="00C5231F">
      <w:pPr>
        <w:numPr>
          <w:ilvl w:val="1"/>
          <w:numId w:val="8"/>
        </w:numPr>
        <w:rPr>
          <w:rStyle w:val="IntenseReference"/>
        </w:rPr>
      </w:pPr>
      <w:r w:rsidRPr="00C5231F">
        <w:rPr>
          <w:rStyle w:val="IntenseReference"/>
        </w:rPr>
        <w:t>Example: Frequent transactions in Jaipur and Manaus include 6-8 units per purchase, indicating strong demand for staple items.</w:t>
      </w:r>
    </w:p>
    <w:p w14:paraId="55CA4238" w14:textId="77777777" w:rsidR="00C5231F" w:rsidRPr="00C5231F" w:rsidRDefault="00C5231F" w:rsidP="00C5231F">
      <w:pPr>
        <w:rPr>
          <w:rStyle w:val="IntenseReference"/>
        </w:rPr>
      </w:pPr>
      <w:r w:rsidRPr="00C5231F">
        <w:rPr>
          <w:rStyle w:val="IntenseReference"/>
        </w:rPr>
        <w:pict w14:anchorId="559F037E">
          <v:rect id="_x0000_i1050" style="width:0;height:.75pt" o:hrstd="t" o:hrnoshade="t" o:hr="t" fillcolor="#f8faff" stroked="f"/>
        </w:pict>
      </w:r>
    </w:p>
    <w:p w14:paraId="4B5B38EF" w14:textId="77777777" w:rsidR="00C5231F" w:rsidRPr="00C5231F" w:rsidRDefault="00C5231F" w:rsidP="00C5231F">
      <w:pPr>
        <w:rPr>
          <w:rStyle w:val="IntenseReference"/>
        </w:rPr>
      </w:pPr>
      <w:r w:rsidRPr="00C5231F">
        <w:rPr>
          <w:rStyle w:val="IntenseReference"/>
        </w:rPr>
        <w:t>Conclusion</w:t>
      </w:r>
    </w:p>
    <w:p w14:paraId="05A3F375" w14:textId="77777777" w:rsidR="00C5231F" w:rsidRPr="00C5231F" w:rsidRDefault="00C5231F" w:rsidP="00C5231F">
      <w:pPr>
        <w:rPr>
          <w:rStyle w:val="IntenseReference"/>
        </w:rPr>
      </w:pPr>
      <w:r w:rsidRPr="00C5231F">
        <w:rPr>
          <w:rStyle w:val="IntenseReference"/>
        </w:rPr>
        <w:t xml:space="preserve">The analysis reveals that Electronics are the primary revenue driver, while Groceries sustain consistent sales volume. The USA and India lead in profitability, supported by high-margin transactions. Daily sales trends indicate opportunities for targeted promotions during peak periods. The slight revenue advantage from Normal </w:t>
      </w:r>
      <w:r w:rsidRPr="00C5231F">
        <w:rPr>
          <w:rStyle w:val="IntenseReference"/>
        </w:rPr>
        <w:lastRenderedPageBreak/>
        <w:t>customers suggests potential to enhance the loyalty program to boost Member engagement in high-value purchases.</w:t>
      </w:r>
    </w:p>
    <w:p w14:paraId="7DBF7FAE" w14:textId="77777777" w:rsidR="00C5231F" w:rsidRPr="00C5231F" w:rsidRDefault="00C5231F" w:rsidP="00C5231F">
      <w:pPr>
        <w:rPr>
          <w:rStyle w:val="IntenseReference"/>
        </w:rPr>
      </w:pPr>
      <w:r w:rsidRPr="00C5231F">
        <w:rPr>
          <w:rStyle w:val="IntenseReference"/>
        </w:rPr>
        <w:pict w14:anchorId="5055EB0A">
          <v:rect id="_x0000_i1051" style="width:0;height:.75pt" o:hrstd="t" o:hrnoshade="t" o:hr="t" fillcolor="#f8faff" stroked="f"/>
        </w:pict>
      </w:r>
    </w:p>
    <w:p w14:paraId="36922E8C" w14:textId="77777777" w:rsidR="00C5231F" w:rsidRPr="00C5231F" w:rsidRDefault="00C5231F" w:rsidP="00C5231F">
      <w:pPr>
        <w:rPr>
          <w:rStyle w:val="IntenseReference"/>
        </w:rPr>
      </w:pPr>
      <w:r w:rsidRPr="00C5231F">
        <w:rPr>
          <w:rStyle w:val="IntenseReference"/>
        </w:rPr>
        <w:t>Recommendations</w:t>
      </w:r>
    </w:p>
    <w:p w14:paraId="21107FE9" w14:textId="77777777" w:rsidR="00C5231F" w:rsidRPr="00C5231F" w:rsidRDefault="00C5231F" w:rsidP="00C5231F">
      <w:pPr>
        <w:numPr>
          <w:ilvl w:val="0"/>
          <w:numId w:val="9"/>
        </w:numPr>
        <w:rPr>
          <w:rStyle w:val="IntenseReference"/>
        </w:rPr>
      </w:pPr>
      <w:r w:rsidRPr="00C5231F">
        <w:rPr>
          <w:rStyle w:val="IntenseReference"/>
        </w:rPr>
        <w:t>Maximize Electronics Sales in Key Markets</w:t>
      </w:r>
    </w:p>
    <w:p w14:paraId="1107D953" w14:textId="77777777" w:rsidR="00C5231F" w:rsidRPr="00C5231F" w:rsidRDefault="00C5231F" w:rsidP="00C5231F">
      <w:pPr>
        <w:numPr>
          <w:ilvl w:val="1"/>
          <w:numId w:val="9"/>
        </w:numPr>
        <w:rPr>
          <w:rStyle w:val="IntenseReference"/>
        </w:rPr>
      </w:pPr>
      <w:r w:rsidRPr="00C5231F">
        <w:rPr>
          <w:rStyle w:val="IntenseReference"/>
        </w:rPr>
        <w:t>Increase inventory and marketing for Laptops, Smartphones, and Tablets in the USA and India.</w:t>
      </w:r>
    </w:p>
    <w:p w14:paraId="75290A29" w14:textId="77777777" w:rsidR="00C5231F" w:rsidRPr="00C5231F" w:rsidRDefault="00C5231F" w:rsidP="00C5231F">
      <w:pPr>
        <w:numPr>
          <w:ilvl w:val="0"/>
          <w:numId w:val="9"/>
        </w:numPr>
        <w:rPr>
          <w:rStyle w:val="IntenseReference"/>
        </w:rPr>
      </w:pPr>
      <w:r w:rsidRPr="00C5231F">
        <w:rPr>
          <w:rStyle w:val="IntenseReference"/>
        </w:rPr>
        <w:t>Leverage High-Volume Groceries</w:t>
      </w:r>
    </w:p>
    <w:p w14:paraId="4277ABE6" w14:textId="77777777" w:rsidR="00C5231F" w:rsidRPr="00C5231F" w:rsidRDefault="00C5231F" w:rsidP="00C5231F">
      <w:pPr>
        <w:numPr>
          <w:ilvl w:val="1"/>
          <w:numId w:val="9"/>
        </w:numPr>
        <w:rPr>
          <w:rStyle w:val="IntenseReference"/>
        </w:rPr>
      </w:pPr>
      <w:r w:rsidRPr="00C5231F">
        <w:rPr>
          <w:rStyle w:val="IntenseReference"/>
        </w:rPr>
        <w:t>Promote Eggs, Milk, and Packaged Water to drive foot traffic and cross-selling.</w:t>
      </w:r>
    </w:p>
    <w:p w14:paraId="040A6AB4" w14:textId="77777777" w:rsidR="00C5231F" w:rsidRPr="00C5231F" w:rsidRDefault="00C5231F" w:rsidP="00C5231F">
      <w:pPr>
        <w:numPr>
          <w:ilvl w:val="0"/>
          <w:numId w:val="9"/>
        </w:numPr>
        <w:rPr>
          <w:rStyle w:val="IntenseReference"/>
        </w:rPr>
      </w:pPr>
      <w:r w:rsidRPr="00C5231F">
        <w:rPr>
          <w:rStyle w:val="IntenseReference"/>
        </w:rPr>
        <w:t>Enhance the Loyalty Program</w:t>
      </w:r>
    </w:p>
    <w:p w14:paraId="1EAC2E32" w14:textId="77777777" w:rsidR="00C5231F" w:rsidRPr="00C5231F" w:rsidRDefault="00C5231F" w:rsidP="00C5231F">
      <w:pPr>
        <w:numPr>
          <w:ilvl w:val="1"/>
          <w:numId w:val="9"/>
        </w:numPr>
        <w:rPr>
          <w:rStyle w:val="IntenseReference"/>
        </w:rPr>
      </w:pPr>
      <w:r w:rsidRPr="00C5231F">
        <w:rPr>
          <w:rStyle w:val="IntenseReference"/>
        </w:rPr>
        <w:t>Offer exclusive discounts on Electronics to incentivize Members to make larger purchases.</w:t>
      </w:r>
    </w:p>
    <w:p w14:paraId="4E74ED7C" w14:textId="77777777" w:rsidR="00C5231F" w:rsidRPr="00C5231F" w:rsidRDefault="00C5231F" w:rsidP="00C5231F">
      <w:pPr>
        <w:numPr>
          <w:ilvl w:val="0"/>
          <w:numId w:val="9"/>
        </w:numPr>
        <w:rPr>
          <w:rStyle w:val="IntenseReference"/>
        </w:rPr>
      </w:pPr>
      <w:r w:rsidRPr="00C5231F">
        <w:rPr>
          <w:rStyle w:val="IntenseReference"/>
        </w:rPr>
        <w:t>Optimize Promotional Strategies</w:t>
      </w:r>
    </w:p>
    <w:p w14:paraId="76C78629" w14:textId="77777777" w:rsidR="00C5231F" w:rsidRPr="00C5231F" w:rsidRDefault="00C5231F" w:rsidP="00C5231F">
      <w:pPr>
        <w:numPr>
          <w:ilvl w:val="1"/>
          <w:numId w:val="9"/>
        </w:numPr>
        <w:rPr>
          <w:rStyle w:val="IntenseReference"/>
        </w:rPr>
      </w:pPr>
      <w:r w:rsidRPr="00C5231F">
        <w:rPr>
          <w:rStyle w:val="IntenseReference"/>
        </w:rPr>
        <w:t>Capitalize on peak sales days (e.g., June 24, 2025) with flash sales or bundle deals.</w:t>
      </w:r>
    </w:p>
    <w:p w14:paraId="5F72C41C" w14:textId="77777777" w:rsidR="00C5231F" w:rsidRPr="00C5231F" w:rsidRDefault="00C5231F" w:rsidP="00C5231F">
      <w:pPr>
        <w:numPr>
          <w:ilvl w:val="0"/>
          <w:numId w:val="9"/>
        </w:numPr>
        <w:rPr>
          <w:rStyle w:val="IntenseReference"/>
        </w:rPr>
      </w:pPr>
      <w:r w:rsidRPr="00C5231F">
        <w:rPr>
          <w:rStyle w:val="IntenseReference"/>
        </w:rPr>
        <w:t>Expand in Emerging Markets</w:t>
      </w:r>
    </w:p>
    <w:p w14:paraId="50DA51B1" w14:textId="77777777" w:rsidR="00C5231F" w:rsidRPr="00C5231F" w:rsidRDefault="00C5231F" w:rsidP="00C5231F">
      <w:pPr>
        <w:numPr>
          <w:ilvl w:val="1"/>
          <w:numId w:val="9"/>
        </w:numPr>
        <w:rPr>
          <w:rStyle w:val="IntenseReference"/>
        </w:rPr>
      </w:pPr>
      <w:r w:rsidRPr="00C5231F">
        <w:rPr>
          <w:rStyle w:val="IntenseReference"/>
        </w:rPr>
        <w:t>Strengthen presence in Brazil and the UAE, where profitability is growing but remains underdeveloped.</w:t>
      </w:r>
    </w:p>
    <w:p w14:paraId="627CE63D" w14:textId="77777777" w:rsidR="00C5231F" w:rsidRPr="00C5231F" w:rsidRDefault="00C5231F" w:rsidP="00C5231F">
      <w:pPr>
        <w:rPr>
          <w:rStyle w:val="IntenseReference"/>
        </w:rPr>
      </w:pPr>
      <w:r w:rsidRPr="00C5231F">
        <w:rPr>
          <w:rStyle w:val="IntenseReference"/>
        </w:rPr>
        <w:pict w14:anchorId="0B26B88D">
          <v:rect id="_x0000_i1052" style="width:0;height:.75pt" o:hrstd="t" o:hrnoshade="t" o:hr="t" fillcolor="#f8faff" stroked="f"/>
        </w:pict>
      </w:r>
    </w:p>
    <w:p w14:paraId="6C99A46C" w14:textId="77777777" w:rsidR="00C5231F" w:rsidRPr="00C5231F" w:rsidRDefault="00C5231F" w:rsidP="00C5231F">
      <w:pPr>
        <w:rPr>
          <w:rStyle w:val="IntenseReference"/>
        </w:rPr>
      </w:pPr>
      <w:r w:rsidRPr="00C5231F">
        <w:rPr>
          <w:rStyle w:val="IntenseReference"/>
        </w:rPr>
        <w:t xml:space="preserve">This report provides a high-level overview of </w:t>
      </w:r>
      <w:proofErr w:type="spellStart"/>
      <w:r w:rsidRPr="00C5231F">
        <w:rPr>
          <w:rStyle w:val="IntenseReference"/>
        </w:rPr>
        <w:t>Emart’s</w:t>
      </w:r>
      <w:proofErr w:type="spellEnd"/>
      <w:r w:rsidRPr="00C5231F">
        <w:rPr>
          <w:rStyle w:val="IntenseReference"/>
        </w:rPr>
        <w:t xml:space="preserve"> sales and profit performance. For deeper insights, additional data on seasonal trends, customer demographics, or store-level performance would be beneficial.</w:t>
      </w:r>
    </w:p>
    <w:p w14:paraId="74934998" w14:textId="77777777" w:rsidR="000A6186" w:rsidRPr="00C5231F" w:rsidRDefault="000A6186" w:rsidP="00C5231F">
      <w:pPr>
        <w:rPr>
          <w:rStyle w:val="IntenseReference"/>
        </w:rPr>
      </w:pPr>
    </w:p>
    <w:sectPr w:rsidR="000A6186" w:rsidRPr="00C52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A7416"/>
    <w:multiLevelType w:val="multilevel"/>
    <w:tmpl w:val="956A9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32F49"/>
    <w:multiLevelType w:val="multilevel"/>
    <w:tmpl w:val="796CA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D5E12"/>
    <w:multiLevelType w:val="multilevel"/>
    <w:tmpl w:val="3EC6A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B584F"/>
    <w:multiLevelType w:val="multilevel"/>
    <w:tmpl w:val="235C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775A9"/>
    <w:multiLevelType w:val="multilevel"/>
    <w:tmpl w:val="508EF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8D5187"/>
    <w:multiLevelType w:val="multilevel"/>
    <w:tmpl w:val="C4AA6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F4F49"/>
    <w:multiLevelType w:val="multilevel"/>
    <w:tmpl w:val="BA444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D72F19"/>
    <w:multiLevelType w:val="multilevel"/>
    <w:tmpl w:val="2E281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F77731"/>
    <w:multiLevelType w:val="multilevel"/>
    <w:tmpl w:val="A6769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010284">
    <w:abstractNumId w:val="7"/>
  </w:num>
  <w:num w:numId="2" w16cid:durableId="1810005873">
    <w:abstractNumId w:val="3"/>
  </w:num>
  <w:num w:numId="3" w16cid:durableId="877620523">
    <w:abstractNumId w:val="0"/>
  </w:num>
  <w:num w:numId="4" w16cid:durableId="1494104627">
    <w:abstractNumId w:val="1"/>
  </w:num>
  <w:num w:numId="5" w16cid:durableId="1695225225">
    <w:abstractNumId w:val="8"/>
  </w:num>
  <w:num w:numId="6" w16cid:durableId="1431857464">
    <w:abstractNumId w:val="5"/>
  </w:num>
  <w:num w:numId="7" w16cid:durableId="593822847">
    <w:abstractNumId w:val="6"/>
  </w:num>
  <w:num w:numId="8" w16cid:durableId="24329358">
    <w:abstractNumId w:val="2"/>
  </w:num>
  <w:num w:numId="9" w16cid:durableId="204679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86"/>
    <w:rsid w:val="000A6186"/>
    <w:rsid w:val="00134695"/>
    <w:rsid w:val="0036325C"/>
    <w:rsid w:val="003659AD"/>
    <w:rsid w:val="00C5231F"/>
    <w:rsid w:val="00F3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7219"/>
  <w15:chartTrackingRefBased/>
  <w15:docId w15:val="{A3330113-E17A-46FE-B260-820E2935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6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1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1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1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1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1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1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1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1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61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1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1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1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186"/>
    <w:rPr>
      <w:rFonts w:eastAsiaTheme="majorEastAsia" w:cstheme="majorBidi"/>
      <w:color w:val="272727" w:themeColor="text1" w:themeTint="D8"/>
    </w:rPr>
  </w:style>
  <w:style w:type="paragraph" w:styleId="Title">
    <w:name w:val="Title"/>
    <w:basedOn w:val="Normal"/>
    <w:next w:val="Normal"/>
    <w:link w:val="TitleChar"/>
    <w:uiPriority w:val="10"/>
    <w:qFormat/>
    <w:rsid w:val="000A61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1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186"/>
    <w:pPr>
      <w:spacing w:before="160"/>
      <w:jc w:val="center"/>
    </w:pPr>
    <w:rPr>
      <w:i/>
      <w:iCs/>
      <w:color w:val="404040" w:themeColor="text1" w:themeTint="BF"/>
    </w:rPr>
  </w:style>
  <w:style w:type="character" w:customStyle="1" w:styleId="QuoteChar">
    <w:name w:val="Quote Char"/>
    <w:basedOn w:val="DefaultParagraphFont"/>
    <w:link w:val="Quote"/>
    <w:uiPriority w:val="29"/>
    <w:rsid w:val="000A6186"/>
    <w:rPr>
      <w:i/>
      <w:iCs/>
      <w:color w:val="404040" w:themeColor="text1" w:themeTint="BF"/>
    </w:rPr>
  </w:style>
  <w:style w:type="paragraph" w:styleId="ListParagraph">
    <w:name w:val="List Paragraph"/>
    <w:basedOn w:val="Normal"/>
    <w:uiPriority w:val="34"/>
    <w:qFormat/>
    <w:rsid w:val="000A6186"/>
    <w:pPr>
      <w:ind w:left="720"/>
      <w:contextualSpacing/>
    </w:pPr>
  </w:style>
  <w:style w:type="character" w:styleId="IntenseEmphasis">
    <w:name w:val="Intense Emphasis"/>
    <w:basedOn w:val="DefaultParagraphFont"/>
    <w:uiPriority w:val="21"/>
    <w:qFormat/>
    <w:rsid w:val="000A6186"/>
    <w:rPr>
      <w:i/>
      <w:iCs/>
      <w:color w:val="0F4761" w:themeColor="accent1" w:themeShade="BF"/>
    </w:rPr>
  </w:style>
  <w:style w:type="paragraph" w:styleId="IntenseQuote">
    <w:name w:val="Intense Quote"/>
    <w:basedOn w:val="Normal"/>
    <w:next w:val="Normal"/>
    <w:link w:val="IntenseQuoteChar"/>
    <w:uiPriority w:val="30"/>
    <w:qFormat/>
    <w:rsid w:val="000A6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186"/>
    <w:rPr>
      <w:i/>
      <w:iCs/>
      <w:color w:val="0F4761" w:themeColor="accent1" w:themeShade="BF"/>
    </w:rPr>
  </w:style>
  <w:style w:type="character" w:styleId="IntenseReference">
    <w:name w:val="Intense Reference"/>
    <w:basedOn w:val="DefaultParagraphFont"/>
    <w:uiPriority w:val="32"/>
    <w:qFormat/>
    <w:rsid w:val="000A6186"/>
    <w:rPr>
      <w:b/>
      <w:bCs/>
      <w:smallCaps/>
      <w:color w:val="0F4761" w:themeColor="accent1" w:themeShade="BF"/>
      <w:spacing w:val="5"/>
    </w:rPr>
  </w:style>
  <w:style w:type="paragraph" w:styleId="NoSpacing">
    <w:name w:val="No Spacing"/>
    <w:uiPriority w:val="1"/>
    <w:qFormat/>
    <w:rsid w:val="00C5231F"/>
    <w:pPr>
      <w:spacing w:after="0" w:line="240" w:lineRule="auto"/>
    </w:pPr>
  </w:style>
  <w:style w:type="character" w:styleId="Strong">
    <w:name w:val="Strong"/>
    <w:basedOn w:val="DefaultParagraphFont"/>
    <w:uiPriority w:val="22"/>
    <w:qFormat/>
    <w:rsid w:val="00C52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25884">
      <w:bodyDiv w:val="1"/>
      <w:marLeft w:val="0"/>
      <w:marRight w:val="0"/>
      <w:marTop w:val="0"/>
      <w:marBottom w:val="0"/>
      <w:divBdr>
        <w:top w:val="none" w:sz="0" w:space="0" w:color="auto"/>
        <w:left w:val="none" w:sz="0" w:space="0" w:color="auto"/>
        <w:bottom w:val="none" w:sz="0" w:space="0" w:color="auto"/>
        <w:right w:val="none" w:sz="0" w:space="0" w:color="auto"/>
      </w:divBdr>
    </w:div>
    <w:div w:id="406541616">
      <w:bodyDiv w:val="1"/>
      <w:marLeft w:val="0"/>
      <w:marRight w:val="0"/>
      <w:marTop w:val="0"/>
      <w:marBottom w:val="0"/>
      <w:divBdr>
        <w:top w:val="none" w:sz="0" w:space="0" w:color="auto"/>
        <w:left w:val="none" w:sz="0" w:space="0" w:color="auto"/>
        <w:bottom w:val="none" w:sz="0" w:space="0" w:color="auto"/>
        <w:right w:val="none" w:sz="0" w:space="0" w:color="auto"/>
      </w:divBdr>
    </w:div>
    <w:div w:id="626084580">
      <w:bodyDiv w:val="1"/>
      <w:marLeft w:val="0"/>
      <w:marRight w:val="0"/>
      <w:marTop w:val="0"/>
      <w:marBottom w:val="0"/>
      <w:divBdr>
        <w:top w:val="none" w:sz="0" w:space="0" w:color="auto"/>
        <w:left w:val="none" w:sz="0" w:space="0" w:color="auto"/>
        <w:bottom w:val="none" w:sz="0" w:space="0" w:color="auto"/>
        <w:right w:val="none" w:sz="0" w:space="0" w:color="auto"/>
      </w:divBdr>
    </w:div>
    <w:div w:id="756438390">
      <w:bodyDiv w:val="1"/>
      <w:marLeft w:val="0"/>
      <w:marRight w:val="0"/>
      <w:marTop w:val="0"/>
      <w:marBottom w:val="0"/>
      <w:divBdr>
        <w:top w:val="none" w:sz="0" w:space="0" w:color="auto"/>
        <w:left w:val="none" w:sz="0" w:space="0" w:color="auto"/>
        <w:bottom w:val="none" w:sz="0" w:space="0" w:color="auto"/>
        <w:right w:val="none" w:sz="0" w:space="0" w:color="auto"/>
      </w:divBdr>
    </w:div>
    <w:div w:id="983966125">
      <w:bodyDiv w:val="1"/>
      <w:marLeft w:val="0"/>
      <w:marRight w:val="0"/>
      <w:marTop w:val="0"/>
      <w:marBottom w:val="0"/>
      <w:divBdr>
        <w:top w:val="none" w:sz="0" w:space="0" w:color="auto"/>
        <w:left w:val="none" w:sz="0" w:space="0" w:color="auto"/>
        <w:bottom w:val="none" w:sz="0" w:space="0" w:color="auto"/>
        <w:right w:val="none" w:sz="0" w:space="0" w:color="auto"/>
      </w:divBdr>
    </w:div>
    <w:div w:id="1140609116">
      <w:bodyDiv w:val="1"/>
      <w:marLeft w:val="0"/>
      <w:marRight w:val="0"/>
      <w:marTop w:val="0"/>
      <w:marBottom w:val="0"/>
      <w:divBdr>
        <w:top w:val="none" w:sz="0" w:space="0" w:color="auto"/>
        <w:left w:val="none" w:sz="0" w:space="0" w:color="auto"/>
        <w:bottom w:val="none" w:sz="0" w:space="0" w:color="auto"/>
        <w:right w:val="none" w:sz="0" w:space="0" w:color="auto"/>
      </w:divBdr>
    </w:div>
    <w:div w:id="1251037752">
      <w:bodyDiv w:val="1"/>
      <w:marLeft w:val="0"/>
      <w:marRight w:val="0"/>
      <w:marTop w:val="0"/>
      <w:marBottom w:val="0"/>
      <w:divBdr>
        <w:top w:val="none" w:sz="0" w:space="0" w:color="auto"/>
        <w:left w:val="none" w:sz="0" w:space="0" w:color="auto"/>
        <w:bottom w:val="none" w:sz="0" w:space="0" w:color="auto"/>
        <w:right w:val="none" w:sz="0" w:space="0" w:color="auto"/>
      </w:divBdr>
    </w:div>
    <w:div w:id="1567687548">
      <w:bodyDiv w:val="1"/>
      <w:marLeft w:val="0"/>
      <w:marRight w:val="0"/>
      <w:marTop w:val="0"/>
      <w:marBottom w:val="0"/>
      <w:divBdr>
        <w:top w:val="none" w:sz="0" w:space="0" w:color="auto"/>
        <w:left w:val="none" w:sz="0" w:space="0" w:color="auto"/>
        <w:bottom w:val="none" w:sz="0" w:space="0" w:color="auto"/>
        <w:right w:val="none" w:sz="0" w:space="0" w:color="auto"/>
      </w:divBdr>
    </w:div>
    <w:div w:id="1574780177">
      <w:bodyDiv w:val="1"/>
      <w:marLeft w:val="0"/>
      <w:marRight w:val="0"/>
      <w:marTop w:val="0"/>
      <w:marBottom w:val="0"/>
      <w:divBdr>
        <w:top w:val="none" w:sz="0" w:space="0" w:color="auto"/>
        <w:left w:val="none" w:sz="0" w:space="0" w:color="auto"/>
        <w:bottom w:val="none" w:sz="0" w:space="0" w:color="auto"/>
        <w:right w:val="none" w:sz="0" w:space="0" w:color="auto"/>
      </w:divBdr>
    </w:div>
    <w:div w:id="1640844436">
      <w:bodyDiv w:val="1"/>
      <w:marLeft w:val="0"/>
      <w:marRight w:val="0"/>
      <w:marTop w:val="0"/>
      <w:marBottom w:val="0"/>
      <w:divBdr>
        <w:top w:val="none" w:sz="0" w:space="0" w:color="auto"/>
        <w:left w:val="none" w:sz="0" w:space="0" w:color="auto"/>
        <w:bottom w:val="none" w:sz="0" w:space="0" w:color="auto"/>
        <w:right w:val="none" w:sz="0" w:space="0" w:color="auto"/>
      </w:divBdr>
    </w:div>
    <w:div w:id="1899902142">
      <w:bodyDiv w:val="1"/>
      <w:marLeft w:val="0"/>
      <w:marRight w:val="0"/>
      <w:marTop w:val="0"/>
      <w:marBottom w:val="0"/>
      <w:divBdr>
        <w:top w:val="none" w:sz="0" w:space="0" w:color="auto"/>
        <w:left w:val="none" w:sz="0" w:space="0" w:color="auto"/>
        <w:bottom w:val="none" w:sz="0" w:space="0" w:color="auto"/>
        <w:right w:val="none" w:sz="0" w:space="0" w:color="auto"/>
      </w:divBdr>
    </w:div>
    <w:div w:id="192691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khan</dc:creator>
  <cp:keywords/>
  <dc:description/>
  <cp:lastModifiedBy>saad khan</cp:lastModifiedBy>
  <cp:revision>5</cp:revision>
  <dcterms:created xsi:type="dcterms:W3CDTF">2025-07-07T11:25:00Z</dcterms:created>
  <dcterms:modified xsi:type="dcterms:W3CDTF">2025-07-16T12:24:00Z</dcterms:modified>
</cp:coreProperties>
</file>