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98998" w14:textId="77777777" w:rsidR="00866AA1" w:rsidRPr="00866AA1" w:rsidRDefault="00866AA1" w:rsidP="00866AA1">
      <w:pPr>
        <w:rPr>
          <w:rStyle w:val="IntenseReference"/>
        </w:rPr>
      </w:pPr>
      <w:r w:rsidRPr="00866AA1">
        <w:rPr>
          <w:rStyle w:val="IntenseReference"/>
        </w:rPr>
        <w:t>Employee Well-Being and Work Trends Report</w:t>
      </w:r>
    </w:p>
    <w:p w14:paraId="21F07C63" w14:textId="77777777" w:rsidR="00866AA1" w:rsidRPr="00866AA1" w:rsidRDefault="00866AA1" w:rsidP="00866AA1">
      <w:pPr>
        <w:rPr>
          <w:rStyle w:val="IntenseReference"/>
        </w:rPr>
      </w:pPr>
      <w:r w:rsidRPr="00866AA1">
        <w:rPr>
          <w:rStyle w:val="IntenseReference"/>
        </w:rPr>
        <w:t>Introduction</w:t>
      </w:r>
    </w:p>
    <w:p w14:paraId="21E0B8A9" w14:textId="77777777" w:rsidR="00866AA1" w:rsidRPr="00866AA1" w:rsidRDefault="00866AA1" w:rsidP="00866AA1">
      <w:pPr>
        <w:rPr>
          <w:rStyle w:val="IntenseReference"/>
        </w:rPr>
      </w:pPr>
      <w:r w:rsidRPr="00866AA1">
        <w:rPr>
          <w:rStyle w:val="IntenseReference"/>
        </w:rPr>
        <w:t>This report provides an in-depth analysis of employee demographics, work habits, mental health conditions, productivity changes, and overall satisfaction with remote and hybrid work environments. The data is drawn from over 5,000 employees across various industries, roles, and regions. The aim is to identify key trends, challenges, and opportunities for improvement to support employee well-being and productivity more effectively.</w:t>
      </w:r>
    </w:p>
    <w:p w14:paraId="4518E4F1" w14:textId="77777777" w:rsidR="00866AA1" w:rsidRPr="00866AA1" w:rsidRDefault="00866AA1" w:rsidP="00866AA1">
      <w:pPr>
        <w:rPr>
          <w:rStyle w:val="IntenseReference"/>
        </w:rPr>
      </w:pPr>
      <w:r w:rsidRPr="00866AA1">
        <w:rPr>
          <w:rStyle w:val="IntenseReference"/>
        </w:rPr>
        <w:pict w14:anchorId="21B15A35">
          <v:rect id="_x0000_i1160" style="width:0;height:1.5pt" o:hralign="center" o:hrstd="t" o:hr="t" fillcolor="#a0a0a0" stroked="f"/>
        </w:pict>
      </w:r>
    </w:p>
    <w:p w14:paraId="6713B835" w14:textId="77777777" w:rsidR="00866AA1" w:rsidRPr="00866AA1" w:rsidRDefault="00866AA1" w:rsidP="00866AA1">
      <w:pPr>
        <w:rPr>
          <w:rStyle w:val="IntenseReference"/>
        </w:rPr>
      </w:pPr>
      <w:r w:rsidRPr="00866AA1">
        <w:rPr>
          <w:rStyle w:val="IntenseReference"/>
        </w:rPr>
        <w:t>Findings</w:t>
      </w:r>
    </w:p>
    <w:p w14:paraId="7A8EAE1B" w14:textId="77777777" w:rsidR="00866AA1" w:rsidRPr="00866AA1" w:rsidRDefault="00866AA1" w:rsidP="00866AA1">
      <w:pPr>
        <w:rPr>
          <w:rStyle w:val="IntenseReference"/>
        </w:rPr>
      </w:pPr>
      <w:r w:rsidRPr="00866AA1">
        <w:rPr>
          <w:rStyle w:val="IntenseReference"/>
        </w:rPr>
        <w:t>1. Employee Demographics Overview</w:t>
      </w:r>
    </w:p>
    <w:p w14:paraId="4EBA2E61" w14:textId="77777777" w:rsidR="00866AA1" w:rsidRPr="00866AA1" w:rsidRDefault="00866AA1" w:rsidP="00866AA1">
      <w:pPr>
        <w:rPr>
          <w:rStyle w:val="IntenseReference"/>
        </w:rPr>
      </w:pPr>
      <w:r w:rsidRPr="00866AA1">
        <w:rPr>
          <w:rStyle w:val="IntenseReference"/>
        </w:rPr>
        <w:t>• Observation: 60% of the workforce falls between the ages of 20 and 40, with employees aged 30-40 representing the largest age group at %.</w:t>
      </w:r>
      <w:r w:rsidRPr="00866AA1">
        <w:rPr>
          <w:rStyle w:val="IntenseReference"/>
        </w:rPr>
        <w:br/>
        <w:t>• Insight: The workforce is largely composed of mid-career professionals, suggesting a need for targeted professional development programs that focus on career growth and leadership opportunities for this demographic.</w:t>
      </w:r>
    </w:p>
    <w:p w14:paraId="579220B8" w14:textId="77777777" w:rsidR="00866AA1" w:rsidRPr="00866AA1" w:rsidRDefault="00866AA1" w:rsidP="00866AA1">
      <w:pPr>
        <w:rPr>
          <w:rStyle w:val="IntenseReference"/>
        </w:rPr>
      </w:pPr>
      <w:r w:rsidRPr="00866AA1">
        <w:rPr>
          <w:rStyle w:val="IntenseReference"/>
        </w:rPr>
        <w:t>2. Work Location Preferences</w:t>
      </w:r>
    </w:p>
    <w:p w14:paraId="1BFE18C0" w14:textId="77777777" w:rsidR="00866AA1" w:rsidRPr="00866AA1" w:rsidRDefault="00866AA1" w:rsidP="00866AA1">
      <w:pPr>
        <w:rPr>
          <w:rStyle w:val="IntenseReference"/>
        </w:rPr>
      </w:pPr>
      <w:r w:rsidRPr="00866AA1">
        <w:rPr>
          <w:rStyle w:val="IntenseReference"/>
        </w:rPr>
        <w:t>• Observation: 30% of employees work remotely, 36% operate in a hybrid model, and 44% work onsite.</w:t>
      </w:r>
      <w:r w:rsidRPr="00866AA1">
        <w:rPr>
          <w:rStyle w:val="IntenseReference"/>
        </w:rPr>
        <w:br/>
        <w:t>• Insight: A significant proportion of employees prefer flexible work arrangements. Organizations should maintain and enhance support for remote and hybrid work to sustain employee satisfaction and productivity.</w:t>
      </w:r>
    </w:p>
    <w:p w14:paraId="7E08326C" w14:textId="77777777" w:rsidR="00866AA1" w:rsidRPr="00866AA1" w:rsidRDefault="00866AA1" w:rsidP="00866AA1">
      <w:pPr>
        <w:rPr>
          <w:rStyle w:val="IntenseReference"/>
        </w:rPr>
      </w:pPr>
      <w:r w:rsidRPr="00866AA1">
        <w:rPr>
          <w:rStyle w:val="IntenseReference"/>
        </w:rPr>
        <w:t>3. Work-Life Balance and Stress</w:t>
      </w:r>
    </w:p>
    <w:p w14:paraId="1B834DAD" w14:textId="77777777" w:rsidR="00866AA1" w:rsidRPr="00866AA1" w:rsidRDefault="00866AA1" w:rsidP="00866AA1">
      <w:pPr>
        <w:rPr>
          <w:rStyle w:val="IntenseReference"/>
        </w:rPr>
      </w:pPr>
      <w:r w:rsidRPr="00866AA1">
        <w:rPr>
          <w:rStyle w:val="IntenseReference"/>
        </w:rPr>
        <w:t>• Observation: 40% of employees rate their work-life balance as below average. This is especially prevalent among onsite workers, with 60% reporting a poor work-life balance compared to just 15% of remote workers.</w:t>
      </w:r>
      <w:r w:rsidRPr="00866AA1">
        <w:rPr>
          <w:rStyle w:val="IntenseReference"/>
        </w:rPr>
        <w:br/>
        <w:t>• Insight: Onsite employees in high-stress roles struggle more with managing work-life balance. Implementing solutions such as flexible working hours, mental health days, or hybrid work options could significantly improve their well-being.</w:t>
      </w:r>
    </w:p>
    <w:p w14:paraId="1747A3D1" w14:textId="77777777" w:rsidR="00866AA1" w:rsidRPr="00866AA1" w:rsidRDefault="00866AA1" w:rsidP="00866AA1">
      <w:pPr>
        <w:rPr>
          <w:rStyle w:val="IntenseReference"/>
        </w:rPr>
      </w:pPr>
      <w:r w:rsidRPr="00866AA1">
        <w:rPr>
          <w:rStyle w:val="IntenseReference"/>
        </w:rPr>
        <w:t>4. Stress Levels and Mental Health Conditions</w:t>
      </w:r>
    </w:p>
    <w:p w14:paraId="326444B8" w14:textId="77777777" w:rsidR="00866AA1" w:rsidRPr="00866AA1" w:rsidRDefault="00866AA1" w:rsidP="00866AA1">
      <w:pPr>
        <w:rPr>
          <w:rStyle w:val="IntenseReference"/>
        </w:rPr>
      </w:pPr>
      <w:r w:rsidRPr="00866AA1">
        <w:rPr>
          <w:rStyle w:val="IntenseReference"/>
        </w:rPr>
        <w:t>• Observation: 25% of employees report experiencing anxiety, and 15% are dealing with depression. Stress levels are particularly high among software engineers and sales employees, with 50% of these groups reporting elevated stress.</w:t>
      </w:r>
      <w:r w:rsidRPr="00866AA1">
        <w:rPr>
          <w:rStyle w:val="IntenseReference"/>
        </w:rPr>
        <w:br/>
        <w:t>• Insight: Mental health is a pressing concern, particularly in high-stress roles. Providing resources such as counseling, stress management workshops, and mental health days can help alleviate these issues.</w:t>
      </w:r>
    </w:p>
    <w:p w14:paraId="4BAD1EBC" w14:textId="77777777" w:rsidR="00866AA1" w:rsidRPr="00866AA1" w:rsidRDefault="00866AA1" w:rsidP="00866AA1">
      <w:pPr>
        <w:rPr>
          <w:rStyle w:val="IntenseReference"/>
        </w:rPr>
      </w:pPr>
      <w:r w:rsidRPr="00866AA1">
        <w:rPr>
          <w:rStyle w:val="IntenseReference"/>
        </w:rPr>
        <w:t>5. Employee Satisfaction with Remote Work</w:t>
      </w:r>
    </w:p>
    <w:p w14:paraId="4B80EE9C" w14:textId="77777777" w:rsidR="00866AA1" w:rsidRPr="00866AA1" w:rsidRDefault="00866AA1" w:rsidP="00866AA1">
      <w:pPr>
        <w:rPr>
          <w:rStyle w:val="IntenseReference"/>
        </w:rPr>
      </w:pPr>
      <w:r w:rsidRPr="00866AA1">
        <w:rPr>
          <w:rStyle w:val="IntenseReference"/>
        </w:rPr>
        <w:lastRenderedPageBreak/>
        <w:t>• Observation: 40% of remote workers report high satisfaction with their work environment, compared to 20% of onsite workers.</w:t>
      </w:r>
      <w:r w:rsidRPr="00866AA1">
        <w:rPr>
          <w:rStyle w:val="IntenseReference"/>
        </w:rPr>
        <w:br/>
        <w:t>• Insight: The flexibility of remote work is linked to higher satisfaction levels. Enhancing the onsite work experience, possibly by offering flexible hours or hybrid models, could improve overall employee satisfaction.</w:t>
      </w:r>
    </w:p>
    <w:p w14:paraId="2C4EA81F" w14:textId="77777777" w:rsidR="00866AA1" w:rsidRPr="00866AA1" w:rsidRDefault="00866AA1" w:rsidP="00866AA1">
      <w:pPr>
        <w:rPr>
          <w:rStyle w:val="IntenseReference"/>
        </w:rPr>
      </w:pPr>
      <w:r w:rsidRPr="00866AA1">
        <w:rPr>
          <w:rStyle w:val="IntenseReference"/>
        </w:rPr>
        <w:t>6. Hours Worked and Productivity Changes</w:t>
      </w:r>
    </w:p>
    <w:p w14:paraId="609471BF" w14:textId="77777777" w:rsidR="00866AA1" w:rsidRPr="00866AA1" w:rsidRDefault="00866AA1" w:rsidP="00866AA1">
      <w:pPr>
        <w:rPr>
          <w:rStyle w:val="IntenseReference"/>
        </w:rPr>
      </w:pPr>
      <w:r w:rsidRPr="00866AA1">
        <w:rPr>
          <w:rStyle w:val="IntenseReference"/>
        </w:rPr>
        <w:t>• Observation: The average employee works 45 hours per week. Remote workers tend to work 5% more hours than their onsite counterparts. However, 30% of employees report a decline in productivity, particularly in high-stress roles with poor work-life balance.</w:t>
      </w:r>
      <w:r w:rsidRPr="00866AA1">
        <w:rPr>
          <w:rStyle w:val="IntenseReference"/>
        </w:rPr>
        <w:br/>
        <w:t>• Insight: Working longer hours doesn't necessarily equate to higher productivity. Addressing stress management and work-life balance, especially in remote roles, could help improve overall productivity.</w:t>
      </w:r>
    </w:p>
    <w:p w14:paraId="39DC86FA" w14:textId="77777777" w:rsidR="00866AA1" w:rsidRPr="00866AA1" w:rsidRDefault="00866AA1" w:rsidP="00866AA1">
      <w:pPr>
        <w:rPr>
          <w:rStyle w:val="IntenseReference"/>
        </w:rPr>
      </w:pPr>
      <w:r w:rsidRPr="00866AA1">
        <w:rPr>
          <w:rStyle w:val="IntenseReference"/>
        </w:rPr>
        <w:t>7. Physical Activity and Health</w:t>
      </w:r>
    </w:p>
    <w:p w14:paraId="5C32EF73" w14:textId="77777777" w:rsidR="00866AA1" w:rsidRPr="00866AA1" w:rsidRDefault="00866AA1" w:rsidP="00866AA1">
      <w:pPr>
        <w:rPr>
          <w:rStyle w:val="IntenseReference"/>
        </w:rPr>
      </w:pPr>
      <w:r w:rsidRPr="00866AA1">
        <w:rPr>
          <w:rStyle w:val="IntenseReference"/>
        </w:rPr>
        <w:t>• Observation: 50% of employees engage in regular physical activity. However, employees who do not exercise regularly report poorer sleep, with 40% rating their sleep quality as "poor."</w:t>
      </w:r>
      <w:r w:rsidRPr="00866AA1">
        <w:rPr>
          <w:rStyle w:val="IntenseReference"/>
        </w:rPr>
        <w:br/>
        <w:t>• Insight: Physical health has a direct impact on mental well-being and sleep quality. Implementing company wellness programs or fitness incentives could promote better physical and mental health across the workforce.</w:t>
      </w:r>
    </w:p>
    <w:p w14:paraId="2918E552" w14:textId="77777777" w:rsidR="00866AA1" w:rsidRPr="00866AA1" w:rsidRDefault="00866AA1" w:rsidP="00866AA1">
      <w:pPr>
        <w:rPr>
          <w:rStyle w:val="IntenseReference"/>
        </w:rPr>
      </w:pPr>
      <w:r w:rsidRPr="00866AA1">
        <w:rPr>
          <w:rStyle w:val="IntenseReference"/>
        </w:rPr>
        <w:t>8. Company Support for Remote Work</w:t>
      </w:r>
    </w:p>
    <w:p w14:paraId="3B224CC3" w14:textId="77777777" w:rsidR="00866AA1" w:rsidRPr="00866AA1" w:rsidRDefault="00866AA1" w:rsidP="00866AA1">
      <w:pPr>
        <w:rPr>
          <w:rStyle w:val="IntenseReference"/>
        </w:rPr>
      </w:pPr>
      <w:r w:rsidRPr="00866AA1">
        <w:rPr>
          <w:rStyle w:val="IntenseReference"/>
        </w:rPr>
        <w:t>• Observation: Employees with robust support for remote work—such as access to mental health resources and technology—are 25% more likely to report higher productivity and job satisfaction.</w:t>
      </w:r>
      <w:r w:rsidRPr="00866AA1">
        <w:rPr>
          <w:rStyle w:val="IntenseReference"/>
        </w:rPr>
        <w:br/>
        <w:t>• Insight: Offering comprehensive support for remote and hybrid work, including mental health resources and the necessary tools, greatly enhances employee well-being and performance. Expanding these initiatives could further elevate productivity and satisfaction across the organization.</w:t>
      </w:r>
    </w:p>
    <w:p w14:paraId="2DE7A3BE" w14:textId="77777777" w:rsidR="00866AA1" w:rsidRPr="00866AA1" w:rsidRDefault="00866AA1" w:rsidP="00866AA1">
      <w:pPr>
        <w:rPr>
          <w:rStyle w:val="IntenseReference"/>
        </w:rPr>
      </w:pPr>
      <w:r w:rsidRPr="00866AA1">
        <w:rPr>
          <w:rStyle w:val="IntenseReference"/>
        </w:rPr>
        <w:pict w14:anchorId="2BDE6531">
          <v:rect id="_x0000_i1161" style="width:0;height:1.5pt" o:hralign="center" o:hrstd="t" o:hr="t" fillcolor="#a0a0a0" stroked="f"/>
        </w:pict>
      </w:r>
    </w:p>
    <w:p w14:paraId="2A816DC4" w14:textId="77777777" w:rsidR="00866AA1" w:rsidRPr="00866AA1" w:rsidRDefault="00866AA1" w:rsidP="00866AA1">
      <w:pPr>
        <w:rPr>
          <w:rStyle w:val="IntenseReference"/>
        </w:rPr>
      </w:pPr>
      <w:r w:rsidRPr="00866AA1">
        <w:rPr>
          <w:rStyle w:val="IntenseReference"/>
        </w:rPr>
        <w:t>Recommendations</w:t>
      </w:r>
    </w:p>
    <w:p w14:paraId="425CC574" w14:textId="77777777" w:rsidR="00866AA1" w:rsidRPr="00866AA1" w:rsidRDefault="00866AA1" w:rsidP="00866AA1">
      <w:pPr>
        <w:numPr>
          <w:ilvl w:val="0"/>
          <w:numId w:val="11"/>
        </w:numPr>
        <w:rPr>
          <w:rStyle w:val="IntenseReference"/>
        </w:rPr>
      </w:pPr>
      <w:r w:rsidRPr="00866AA1">
        <w:rPr>
          <w:rStyle w:val="IntenseReference"/>
        </w:rPr>
        <w:t>Expand Mental Health Support: Given the high levels of anxiety and depression reported, particularly among employees in high-stress roles, the company should invest in mental health resources, such as counseling services, stress management programs, and mental health days.</w:t>
      </w:r>
    </w:p>
    <w:p w14:paraId="7C0FD764" w14:textId="77777777" w:rsidR="00866AA1" w:rsidRPr="00866AA1" w:rsidRDefault="00866AA1" w:rsidP="00866AA1">
      <w:pPr>
        <w:numPr>
          <w:ilvl w:val="0"/>
          <w:numId w:val="11"/>
        </w:numPr>
        <w:rPr>
          <w:rStyle w:val="IntenseReference"/>
        </w:rPr>
      </w:pPr>
      <w:r w:rsidRPr="00866AA1">
        <w:rPr>
          <w:rStyle w:val="IntenseReference"/>
        </w:rPr>
        <w:t>Enhance Work-Life Balance Initiatives: Onsite workers report poorer work-life balance and higher stress levels. Introducing more flexible working arrangements, including hybrid models where feasible, could help alleviate these challenges.</w:t>
      </w:r>
    </w:p>
    <w:p w14:paraId="06C718E2" w14:textId="77777777" w:rsidR="00866AA1" w:rsidRPr="00866AA1" w:rsidRDefault="00866AA1" w:rsidP="00866AA1">
      <w:pPr>
        <w:numPr>
          <w:ilvl w:val="0"/>
          <w:numId w:val="11"/>
        </w:numPr>
        <w:rPr>
          <w:rStyle w:val="IntenseReference"/>
        </w:rPr>
      </w:pPr>
      <w:r w:rsidRPr="00866AA1">
        <w:rPr>
          <w:rStyle w:val="IntenseReference"/>
        </w:rPr>
        <w:t xml:space="preserve">Invest in Employee Well-Being Programs: Encouraging regular physical activity through company-sponsored wellness programs, fitness challenges, or </w:t>
      </w:r>
      <w:r w:rsidRPr="00866AA1">
        <w:rPr>
          <w:rStyle w:val="IntenseReference"/>
        </w:rPr>
        <w:lastRenderedPageBreak/>
        <w:t>discounted gym memberships could improve both mental and physical health outcomes, leading to better sleep quality and overall job satisfaction.</w:t>
      </w:r>
    </w:p>
    <w:p w14:paraId="1F124BD4" w14:textId="77777777" w:rsidR="00866AA1" w:rsidRPr="00866AA1" w:rsidRDefault="00866AA1" w:rsidP="00866AA1">
      <w:pPr>
        <w:numPr>
          <w:ilvl w:val="0"/>
          <w:numId w:val="11"/>
        </w:numPr>
        <w:rPr>
          <w:rStyle w:val="IntenseReference"/>
        </w:rPr>
      </w:pPr>
      <w:r w:rsidRPr="00866AA1">
        <w:rPr>
          <w:rStyle w:val="IntenseReference"/>
        </w:rPr>
        <w:t>Increase Remote Work Support: Data indicates that employees with stronger remote work support experience higher productivity and satisfaction. Expanding resources, such as mental health support, ergonomic equipment, and virtual team-building activities, could further improve the remote work experience.</w:t>
      </w:r>
    </w:p>
    <w:p w14:paraId="1BF3C08F" w14:textId="77777777" w:rsidR="00866AA1" w:rsidRPr="00866AA1" w:rsidRDefault="00866AA1" w:rsidP="00866AA1">
      <w:pPr>
        <w:rPr>
          <w:rStyle w:val="IntenseReference"/>
        </w:rPr>
      </w:pPr>
      <w:r w:rsidRPr="00866AA1">
        <w:rPr>
          <w:rStyle w:val="IntenseReference"/>
        </w:rPr>
        <w:pict w14:anchorId="0DDCDCA6">
          <v:rect id="_x0000_i1162" style="width:0;height:1.5pt" o:hralign="center" o:hrstd="t" o:hr="t" fillcolor="#a0a0a0" stroked="f"/>
        </w:pict>
      </w:r>
    </w:p>
    <w:p w14:paraId="712EFECB" w14:textId="77777777" w:rsidR="00866AA1" w:rsidRPr="00866AA1" w:rsidRDefault="00866AA1" w:rsidP="00866AA1">
      <w:pPr>
        <w:rPr>
          <w:rStyle w:val="IntenseReference"/>
        </w:rPr>
      </w:pPr>
      <w:r w:rsidRPr="00866AA1">
        <w:rPr>
          <w:rStyle w:val="IntenseReference"/>
        </w:rPr>
        <w:t>Conclusion</w:t>
      </w:r>
    </w:p>
    <w:p w14:paraId="32F1B193" w14:textId="77777777" w:rsidR="00866AA1" w:rsidRPr="00866AA1" w:rsidRDefault="00866AA1" w:rsidP="00866AA1">
      <w:pPr>
        <w:rPr>
          <w:rStyle w:val="IntenseReference"/>
        </w:rPr>
      </w:pPr>
      <w:r w:rsidRPr="00866AA1">
        <w:rPr>
          <w:rStyle w:val="IntenseReference"/>
        </w:rPr>
        <w:t>This analysis reveals key areas where the organization can enhance employee well-being, productivity, and overall job satisfaction. Prioritizing mental health support, offering more flexible work arrangements, and promoting a better work-life balance will be crucial in fostering a productive and engaged workforce. By acting on these insights, the company can cultivate a healthier and more motivated employee base.</w:t>
      </w:r>
    </w:p>
    <w:p w14:paraId="56A721B3" w14:textId="77777777" w:rsidR="002A0949" w:rsidRPr="00866AA1" w:rsidRDefault="002A0949" w:rsidP="00866AA1">
      <w:pPr>
        <w:rPr>
          <w:rStyle w:val="IntenseReference"/>
        </w:rPr>
      </w:pPr>
    </w:p>
    <w:sectPr w:rsidR="002A0949" w:rsidRPr="00866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85A4C"/>
    <w:multiLevelType w:val="multilevel"/>
    <w:tmpl w:val="CFEC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E06E8"/>
    <w:multiLevelType w:val="multilevel"/>
    <w:tmpl w:val="4FDA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13E0B"/>
    <w:multiLevelType w:val="multilevel"/>
    <w:tmpl w:val="E862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B4308"/>
    <w:multiLevelType w:val="multilevel"/>
    <w:tmpl w:val="7A2E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3744B"/>
    <w:multiLevelType w:val="multilevel"/>
    <w:tmpl w:val="7346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26A2C"/>
    <w:multiLevelType w:val="multilevel"/>
    <w:tmpl w:val="BF8A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E96B03"/>
    <w:multiLevelType w:val="multilevel"/>
    <w:tmpl w:val="44A6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406792"/>
    <w:multiLevelType w:val="multilevel"/>
    <w:tmpl w:val="35C2B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6D5DDD"/>
    <w:multiLevelType w:val="multilevel"/>
    <w:tmpl w:val="6600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CA393A"/>
    <w:multiLevelType w:val="multilevel"/>
    <w:tmpl w:val="6DEE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066657"/>
    <w:multiLevelType w:val="multilevel"/>
    <w:tmpl w:val="A328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679553">
    <w:abstractNumId w:val="6"/>
  </w:num>
  <w:num w:numId="2" w16cid:durableId="1263999477">
    <w:abstractNumId w:val="9"/>
  </w:num>
  <w:num w:numId="3" w16cid:durableId="1875651818">
    <w:abstractNumId w:val="10"/>
  </w:num>
  <w:num w:numId="4" w16cid:durableId="1392651639">
    <w:abstractNumId w:val="3"/>
  </w:num>
  <w:num w:numId="5" w16cid:durableId="2061786540">
    <w:abstractNumId w:val="4"/>
  </w:num>
  <w:num w:numId="6" w16cid:durableId="101338489">
    <w:abstractNumId w:val="8"/>
  </w:num>
  <w:num w:numId="7" w16cid:durableId="473327403">
    <w:abstractNumId w:val="5"/>
  </w:num>
  <w:num w:numId="8" w16cid:durableId="214465756">
    <w:abstractNumId w:val="1"/>
  </w:num>
  <w:num w:numId="9" w16cid:durableId="1710256552">
    <w:abstractNumId w:val="2"/>
  </w:num>
  <w:num w:numId="10" w16cid:durableId="1740210079">
    <w:abstractNumId w:val="0"/>
  </w:num>
  <w:num w:numId="11" w16cid:durableId="6470543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49"/>
    <w:rsid w:val="001513E0"/>
    <w:rsid w:val="001B63C3"/>
    <w:rsid w:val="002A0949"/>
    <w:rsid w:val="002D718F"/>
    <w:rsid w:val="003703D3"/>
    <w:rsid w:val="004F6201"/>
    <w:rsid w:val="00866AA1"/>
    <w:rsid w:val="00B444C8"/>
    <w:rsid w:val="00BC4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216C"/>
  <w15:chartTrackingRefBased/>
  <w15:docId w15:val="{91A9D38A-B096-43E3-A8AB-D2424F18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9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9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9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9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9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949"/>
    <w:rPr>
      <w:rFonts w:eastAsiaTheme="majorEastAsia" w:cstheme="majorBidi"/>
      <w:color w:val="272727" w:themeColor="text1" w:themeTint="D8"/>
    </w:rPr>
  </w:style>
  <w:style w:type="paragraph" w:styleId="Title">
    <w:name w:val="Title"/>
    <w:basedOn w:val="Normal"/>
    <w:next w:val="Normal"/>
    <w:link w:val="TitleChar"/>
    <w:uiPriority w:val="10"/>
    <w:qFormat/>
    <w:rsid w:val="002A0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949"/>
    <w:pPr>
      <w:spacing w:before="160"/>
      <w:jc w:val="center"/>
    </w:pPr>
    <w:rPr>
      <w:i/>
      <w:iCs/>
      <w:color w:val="404040" w:themeColor="text1" w:themeTint="BF"/>
    </w:rPr>
  </w:style>
  <w:style w:type="character" w:customStyle="1" w:styleId="QuoteChar">
    <w:name w:val="Quote Char"/>
    <w:basedOn w:val="DefaultParagraphFont"/>
    <w:link w:val="Quote"/>
    <w:uiPriority w:val="29"/>
    <w:rsid w:val="002A0949"/>
    <w:rPr>
      <w:i/>
      <w:iCs/>
      <w:color w:val="404040" w:themeColor="text1" w:themeTint="BF"/>
    </w:rPr>
  </w:style>
  <w:style w:type="paragraph" w:styleId="ListParagraph">
    <w:name w:val="List Paragraph"/>
    <w:basedOn w:val="Normal"/>
    <w:uiPriority w:val="34"/>
    <w:qFormat/>
    <w:rsid w:val="002A0949"/>
    <w:pPr>
      <w:ind w:left="720"/>
      <w:contextualSpacing/>
    </w:pPr>
  </w:style>
  <w:style w:type="character" w:styleId="IntenseEmphasis">
    <w:name w:val="Intense Emphasis"/>
    <w:basedOn w:val="DefaultParagraphFont"/>
    <w:uiPriority w:val="21"/>
    <w:qFormat/>
    <w:rsid w:val="002A0949"/>
    <w:rPr>
      <w:i/>
      <w:iCs/>
      <w:color w:val="0F4761" w:themeColor="accent1" w:themeShade="BF"/>
    </w:rPr>
  </w:style>
  <w:style w:type="paragraph" w:styleId="IntenseQuote">
    <w:name w:val="Intense Quote"/>
    <w:basedOn w:val="Normal"/>
    <w:next w:val="Normal"/>
    <w:link w:val="IntenseQuoteChar"/>
    <w:uiPriority w:val="30"/>
    <w:qFormat/>
    <w:rsid w:val="002A0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949"/>
    <w:rPr>
      <w:i/>
      <w:iCs/>
      <w:color w:val="0F4761" w:themeColor="accent1" w:themeShade="BF"/>
    </w:rPr>
  </w:style>
  <w:style w:type="character" w:styleId="IntenseReference">
    <w:name w:val="Intense Reference"/>
    <w:basedOn w:val="DefaultParagraphFont"/>
    <w:uiPriority w:val="32"/>
    <w:qFormat/>
    <w:rsid w:val="002A0949"/>
    <w:rPr>
      <w:b/>
      <w:bCs/>
      <w:smallCaps/>
      <w:color w:val="0F4761" w:themeColor="accent1" w:themeShade="BF"/>
      <w:spacing w:val="5"/>
    </w:rPr>
  </w:style>
  <w:style w:type="paragraph" w:styleId="NormalWeb">
    <w:name w:val="Normal (Web)"/>
    <w:basedOn w:val="Normal"/>
    <w:uiPriority w:val="99"/>
    <w:semiHidden/>
    <w:unhideWhenUsed/>
    <w:rsid w:val="002A0949"/>
    <w:rPr>
      <w:rFonts w:ascii="Times New Roman" w:hAnsi="Times New Roman" w:cs="Times New Roman"/>
      <w:sz w:val="24"/>
      <w:szCs w:val="24"/>
    </w:rPr>
  </w:style>
  <w:style w:type="character" w:styleId="Strong">
    <w:name w:val="Strong"/>
    <w:basedOn w:val="DefaultParagraphFont"/>
    <w:uiPriority w:val="22"/>
    <w:qFormat/>
    <w:rsid w:val="00866A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8860">
      <w:bodyDiv w:val="1"/>
      <w:marLeft w:val="0"/>
      <w:marRight w:val="0"/>
      <w:marTop w:val="0"/>
      <w:marBottom w:val="0"/>
      <w:divBdr>
        <w:top w:val="none" w:sz="0" w:space="0" w:color="auto"/>
        <w:left w:val="none" w:sz="0" w:space="0" w:color="auto"/>
        <w:bottom w:val="none" w:sz="0" w:space="0" w:color="auto"/>
        <w:right w:val="none" w:sz="0" w:space="0" w:color="auto"/>
      </w:divBdr>
    </w:div>
    <w:div w:id="548683585">
      <w:bodyDiv w:val="1"/>
      <w:marLeft w:val="0"/>
      <w:marRight w:val="0"/>
      <w:marTop w:val="0"/>
      <w:marBottom w:val="0"/>
      <w:divBdr>
        <w:top w:val="none" w:sz="0" w:space="0" w:color="auto"/>
        <w:left w:val="none" w:sz="0" w:space="0" w:color="auto"/>
        <w:bottom w:val="none" w:sz="0" w:space="0" w:color="auto"/>
        <w:right w:val="none" w:sz="0" w:space="0" w:color="auto"/>
      </w:divBdr>
    </w:div>
    <w:div w:id="572856050">
      <w:bodyDiv w:val="1"/>
      <w:marLeft w:val="0"/>
      <w:marRight w:val="0"/>
      <w:marTop w:val="0"/>
      <w:marBottom w:val="0"/>
      <w:divBdr>
        <w:top w:val="none" w:sz="0" w:space="0" w:color="auto"/>
        <w:left w:val="none" w:sz="0" w:space="0" w:color="auto"/>
        <w:bottom w:val="none" w:sz="0" w:space="0" w:color="auto"/>
        <w:right w:val="none" w:sz="0" w:space="0" w:color="auto"/>
      </w:divBdr>
    </w:div>
    <w:div w:id="940189517">
      <w:bodyDiv w:val="1"/>
      <w:marLeft w:val="0"/>
      <w:marRight w:val="0"/>
      <w:marTop w:val="0"/>
      <w:marBottom w:val="0"/>
      <w:divBdr>
        <w:top w:val="none" w:sz="0" w:space="0" w:color="auto"/>
        <w:left w:val="none" w:sz="0" w:space="0" w:color="auto"/>
        <w:bottom w:val="none" w:sz="0" w:space="0" w:color="auto"/>
        <w:right w:val="none" w:sz="0" w:space="0" w:color="auto"/>
      </w:divBdr>
    </w:div>
    <w:div w:id="972638566">
      <w:bodyDiv w:val="1"/>
      <w:marLeft w:val="0"/>
      <w:marRight w:val="0"/>
      <w:marTop w:val="0"/>
      <w:marBottom w:val="0"/>
      <w:divBdr>
        <w:top w:val="none" w:sz="0" w:space="0" w:color="auto"/>
        <w:left w:val="none" w:sz="0" w:space="0" w:color="auto"/>
        <w:bottom w:val="none" w:sz="0" w:space="0" w:color="auto"/>
        <w:right w:val="none" w:sz="0" w:space="0" w:color="auto"/>
      </w:divBdr>
    </w:div>
    <w:div w:id="1079207553">
      <w:bodyDiv w:val="1"/>
      <w:marLeft w:val="0"/>
      <w:marRight w:val="0"/>
      <w:marTop w:val="0"/>
      <w:marBottom w:val="0"/>
      <w:divBdr>
        <w:top w:val="none" w:sz="0" w:space="0" w:color="auto"/>
        <w:left w:val="none" w:sz="0" w:space="0" w:color="auto"/>
        <w:bottom w:val="none" w:sz="0" w:space="0" w:color="auto"/>
        <w:right w:val="none" w:sz="0" w:space="0" w:color="auto"/>
      </w:divBdr>
    </w:div>
    <w:div w:id="1394936004">
      <w:bodyDiv w:val="1"/>
      <w:marLeft w:val="0"/>
      <w:marRight w:val="0"/>
      <w:marTop w:val="0"/>
      <w:marBottom w:val="0"/>
      <w:divBdr>
        <w:top w:val="none" w:sz="0" w:space="0" w:color="auto"/>
        <w:left w:val="none" w:sz="0" w:space="0" w:color="auto"/>
        <w:bottom w:val="none" w:sz="0" w:space="0" w:color="auto"/>
        <w:right w:val="none" w:sz="0" w:space="0" w:color="auto"/>
      </w:divBdr>
    </w:div>
    <w:div w:id="1434478500">
      <w:bodyDiv w:val="1"/>
      <w:marLeft w:val="0"/>
      <w:marRight w:val="0"/>
      <w:marTop w:val="0"/>
      <w:marBottom w:val="0"/>
      <w:divBdr>
        <w:top w:val="none" w:sz="0" w:space="0" w:color="auto"/>
        <w:left w:val="none" w:sz="0" w:space="0" w:color="auto"/>
        <w:bottom w:val="none" w:sz="0" w:space="0" w:color="auto"/>
        <w:right w:val="none" w:sz="0" w:space="0" w:color="auto"/>
      </w:divBdr>
    </w:div>
    <w:div w:id="1609506347">
      <w:bodyDiv w:val="1"/>
      <w:marLeft w:val="0"/>
      <w:marRight w:val="0"/>
      <w:marTop w:val="0"/>
      <w:marBottom w:val="0"/>
      <w:divBdr>
        <w:top w:val="none" w:sz="0" w:space="0" w:color="auto"/>
        <w:left w:val="none" w:sz="0" w:space="0" w:color="auto"/>
        <w:bottom w:val="none" w:sz="0" w:space="0" w:color="auto"/>
        <w:right w:val="none" w:sz="0" w:space="0" w:color="auto"/>
      </w:divBdr>
    </w:div>
    <w:div w:id="167746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khan</dc:creator>
  <cp:keywords/>
  <dc:description/>
  <cp:lastModifiedBy>saad khan</cp:lastModifiedBy>
  <cp:revision>1</cp:revision>
  <dcterms:created xsi:type="dcterms:W3CDTF">2024-10-14T16:26:00Z</dcterms:created>
  <dcterms:modified xsi:type="dcterms:W3CDTF">2024-10-14T17:47:00Z</dcterms:modified>
</cp:coreProperties>
</file>