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jc w:val="center"/>
      </w:pPr>
      <w:r>
        <w:t>INTERNSHIP FINAL REPORT</w:t>
      </w:r>
    </w:p>
    <w:p>
      <w:pPr>
        <w:pStyle w:val="Title"/>
        <w:jc w:val="center"/>
      </w:pPr>
      <w:r>
        <w:t>QuickTalk Organizational</w:t>
        <w:br/>
        <w:t>Memory &amp; Agent Knowledge Platform</w:t>
      </w:r>
    </w:p>
    <w:p>
      <w:pPr>
        <w:pStyle w:val="Subtitle"/>
        <w:jc w:val="center"/>
      </w:pPr>
      <w:r>
        <w:t>Flask tool calling · Mem0 · Pinecone · Groq · Analytics</w:t>
      </w:r>
    </w:p>
    <w:p>
      <w:r>
        <w:br/>
      </w:r>
    </w:p>
    <w:tbl>
      <w:tblPr>
        <w:tblW w:type="auto" w:w="0"/>
        <w:tblLayout w:type="fixed"/>
        <w:tblLook w:firstColumn="1" w:firstRow="1" w:lastColumn="0" w:lastRow="0" w:noHBand="0" w:noVBand="1" w:val="04A0"/>
      </w:tblPr>
      <w:tblGrid>
        <w:gridCol w:w="9360"/>
      </w:tblGrid>
      <w:tr>
        <w:tc>
          <w:tcPr>
            <w:tcW w:type="dxa" w:w="9360"/>
            <w:shd w:fill="EEF4FF"/>
          </w:tcPr>
          <w:p>
            <w:pPr>
              <w:spacing w:after="60"/>
            </w:pPr>
            <w:r>
              <w:rPr>
                <w:b/>
                <w:color w:val="2563EB"/>
              </w:rPr>
              <w:t xml:space="preserve">Project result  </w:t>
            </w:r>
            <w:r>
              <w:t>A working multi-tenant customer-support memory service that recalls prior conversations, creates concise agent handoffs, learns reusable human-agent knowledge safely, and exposes organization analytics.</w:t>
            </w:r>
          </w:p>
        </w:tc>
      </w:tr>
    </w:tbl>
    <w:p>
      <w:r>
        <w:br/>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448"/>
            <w:vAlign w:val="center"/>
            <w:shd w:fill="0B2545"/>
          </w:tcPr>
          <w:p>
            <w:pPr>
              <w:spacing w:after="40"/>
            </w:pPr>
            <w:r/>
            <w:r>
              <w:rPr>
                <w:rFonts w:ascii="Calibri" w:hAnsi="Calibri"/>
                <w:b/>
                <w:color w:val="FFFFFF"/>
                <w:sz w:val="17"/>
              </w:rPr>
              <w:t>Prepared for</w:t>
            </w:r>
          </w:p>
        </w:tc>
        <w:tc>
          <w:tcPr>
            <w:tcW w:type="dxa" w:w="2448"/>
            <w:vAlign w:val="center"/>
            <w:shd w:fill="0B2545"/>
          </w:tcPr>
          <w:p>
            <w:pPr>
              <w:spacing w:after="40"/>
            </w:pPr>
            <w:r/>
            <w:r>
              <w:rPr>
                <w:rFonts w:ascii="Calibri" w:hAnsi="Calibri"/>
                <w:b/>
                <w:color w:val="FFFFFF"/>
                <w:sz w:val="17"/>
              </w:rPr>
              <w:t>Prepared by</w:t>
            </w:r>
          </w:p>
        </w:tc>
        <w:tc>
          <w:tcPr>
            <w:tcW w:type="dxa" w:w="1872"/>
            <w:vAlign w:val="center"/>
            <w:shd w:fill="0B2545"/>
          </w:tcPr>
          <w:p>
            <w:pPr>
              <w:spacing w:after="40"/>
            </w:pPr>
            <w:r/>
            <w:r>
              <w:rPr>
                <w:rFonts w:ascii="Calibri" w:hAnsi="Calibri"/>
                <w:b/>
                <w:color w:val="FFFFFF"/>
                <w:sz w:val="17"/>
              </w:rPr>
              <w:t>Report date</w:t>
            </w:r>
          </w:p>
        </w:tc>
        <w:tc>
          <w:tcPr>
            <w:tcW w:type="dxa" w:w="2592"/>
            <w:vAlign w:val="center"/>
            <w:shd w:fill="0B2545"/>
          </w:tcPr>
          <w:p>
            <w:pPr>
              <w:spacing w:after="40"/>
            </w:pPr>
            <w:r/>
            <w:r>
              <w:rPr>
                <w:rFonts w:ascii="Calibri" w:hAnsi="Calibri"/>
                <w:b/>
                <w:color w:val="FFFFFF"/>
                <w:sz w:val="17"/>
              </w:rPr>
              <w:t>Repository status</w:t>
            </w:r>
          </w:p>
        </w:tc>
      </w:tr>
      <w:tr>
        <w:tc>
          <w:tcPr>
            <w:tcW w:type="dxa" w:w="2448"/>
            <w:vAlign w:val="center"/>
          </w:tcPr>
          <w:p>
            <w:pPr>
              <w:spacing w:after="40"/>
            </w:pPr>
            <w:r/>
            <w:r>
              <w:rPr>
                <w:rFonts w:ascii="Calibri" w:hAnsi="Calibri"/>
                <w:b w:val="0"/>
                <w:color w:val="0B2545"/>
                <w:sz w:val="17"/>
              </w:rPr>
              <w:t>Internship supervisor / engineering lead</w:t>
            </w:r>
          </w:p>
        </w:tc>
        <w:tc>
          <w:tcPr>
            <w:tcW w:type="dxa" w:w="2448"/>
            <w:vAlign w:val="center"/>
          </w:tcPr>
          <w:p>
            <w:pPr>
              <w:spacing w:after="40"/>
            </w:pPr>
            <w:r/>
            <w:r>
              <w:rPr>
                <w:rFonts w:ascii="Calibri" w:hAnsi="Calibri"/>
                <w:b w:val="0"/>
                <w:color w:val="0B2545"/>
                <w:sz w:val="17"/>
              </w:rPr>
              <w:t>Internship project owner</w:t>
            </w:r>
          </w:p>
        </w:tc>
        <w:tc>
          <w:tcPr>
            <w:tcW w:type="dxa" w:w="1872"/>
            <w:vAlign w:val="center"/>
          </w:tcPr>
          <w:p>
            <w:pPr>
              <w:spacing w:after="40"/>
            </w:pPr>
            <w:r/>
            <w:r>
              <w:rPr>
                <w:rFonts w:ascii="Calibri" w:hAnsi="Calibri"/>
                <w:b w:val="0"/>
                <w:color w:val="0B2545"/>
                <w:sz w:val="17"/>
              </w:rPr>
              <w:t>27 August 2026</w:t>
            </w:r>
          </w:p>
        </w:tc>
        <w:tc>
          <w:tcPr>
            <w:tcW w:type="dxa" w:w="2592"/>
            <w:vAlign w:val="center"/>
          </w:tcPr>
          <w:p>
            <w:pPr>
              <w:spacing w:after="40"/>
            </w:pPr>
            <w:r/>
            <w:r>
              <w:rPr>
                <w:rFonts w:ascii="Calibri" w:hAnsi="Calibri"/>
                <w:b w:val="0"/>
                <w:color w:val="0B2545"/>
                <w:sz w:val="17"/>
              </w:rPr>
              <w:t>Main branch · 48 tests passing</w:t>
            </w:r>
          </w:p>
        </w:tc>
      </w:tr>
    </w:tbl>
    <w:p>
      <w:pPr>
        <w:spacing w:after="40"/>
      </w:pPr>
    </w:p>
    <w:p>
      <w:pPr>
        <w:pStyle w:val="Heading3"/>
      </w:pPr>
      <w:r>
        <w:t>CONFIDENTIALITY NOTE</w:t>
      </w:r>
    </w:p>
    <w:p>
      <w:r>
        <w:t>API keys are intentionally excluded. Any key previously shared in chat must be rotated before production use.</w:t>
      </w:r>
    </w:p>
    <w:p>
      <w:r>
        <w:br w:type="page"/>
      </w:r>
    </w:p>
    <w:p>
      <w:pPr>
        <w:pStyle w:val="Heading1"/>
      </w:pPr>
      <w:r>
        <w:t>1. Executive Summary</w:t>
      </w:r>
    </w:p>
    <w:p>
      <w:r>
        <w:t>QuickTalk is a Flask-based support intelligence layer that gives a bot and human-agent team controlled access to organizational and customer conversation memory. The project connects live chat, cross-session recall, agent handoff, reusable human-agent knowledge, tone guidance, and analytics while keeping every lookup scoped to an organization and customer identity.</w:t>
      </w:r>
    </w:p>
    <w:tbl>
      <w:tblPr>
        <w:tblW w:type="auto" w:w="0"/>
        <w:jc w:val="center"/>
        <w:tblLayout w:type="fixed"/>
        <w:tblLook w:firstColumn="1" w:firstRow="1" w:lastColumn="0" w:lastRow="0" w:noHBand="0" w:noVBand="1" w:val="04A0"/>
      </w:tblPr>
      <w:tblGrid>
        <w:gridCol w:w="3120"/>
        <w:gridCol w:w="3120"/>
        <w:gridCol w:w="3120"/>
      </w:tblGrid>
      <w:tr>
        <w:tc>
          <w:tcPr>
            <w:tcW w:type="dxa" w:w="1944"/>
            <w:vAlign w:val="center"/>
            <w:shd w:fill="0B2545"/>
          </w:tcPr>
          <w:p>
            <w:pPr>
              <w:spacing w:after="40"/>
            </w:pPr>
            <w:r/>
            <w:r>
              <w:rPr>
                <w:rFonts w:ascii="Calibri" w:hAnsi="Calibri"/>
                <w:b/>
                <w:color w:val="FFFFFF"/>
                <w:sz w:val="17"/>
              </w:rPr>
              <w:t>Capability</w:t>
            </w:r>
          </w:p>
        </w:tc>
        <w:tc>
          <w:tcPr>
            <w:tcW w:type="dxa" w:w="4680"/>
            <w:vAlign w:val="center"/>
            <w:shd w:fill="0B2545"/>
          </w:tcPr>
          <w:p>
            <w:pPr>
              <w:spacing w:after="40"/>
            </w:pPr>
            <w:r/>
            <w:r>
              <w:rPr>
                <w:rFonts w:ascii="Calibri" w:hAnsi="Calibri"/>
                <w:b/>
                <w:color w:val="FFFFFF"/>
                <w:sz w:val="17"/>
              </w:rPr>
              <w:t>Implemented outcome</w:t>
            </w:r>
          </w:p>
        </w:tc>
        <w:tc>
          <w:tcPr>
            <w:tcW w:type="dxa" w:w="2736"/>
            <w:vAlign w:val="center"/>
            <w:shd w:fill="0B2545"/>
          </w:tcPr>
          <w:p>
            <w:pPr>
              <w:spacing w:after="40"/>
            </w:pPr>
            <w:r/>
            <w:r>
              <w:rPr>
                <w:rFonts w:ascii="Calibri" w:hAnsi="Calibri"/>
                <w:b/>
                <w:color w:val="FFFFFF"/>
                <w:sz w:val="17"/>
              </w:rPr>
              <w:t>Primary technology</w:t>
            </w:r>
          </w:p>
        </w:tc>
      </w:tr>
      <w:tr>
        <w:tc>
          <w:tcPr>
            <w:tcW w:type="dxa" w:w="1944"/>
            <w:vAlign w:val="center"/>
          </w:tcPr>
          <w:p>
            <w:pPr>
              <w:spacing w:after="40"/>
            </w:pPr>
            <w:r/>
            <w:r>
              <w:rPr>
                <w:rFonts w:ascii="Calibri" w:hAnsi="Calibri"/>
                <w:b w:val="0"/>
                <w:color w:val="0B2545"/>
                <w:sz w:val="17"/>
              </w:rPr>
              <w:t>Conversational memory</w:t>
            </w:r>
          </w:p>
        </w:tc>
        <w:tc>
          <w:tcPr>
            <w:tcW w:type="dxa" w:w="4680"/>
            <w:vAlign w:val="center"/>
          </w:tcPr>
          <w:p>
            <w:pPr>
              <w:spacing w:after="40"/>
            </w:pPr>
            <w:r/>
            <w:r>
              <w:rPr>
                <w:rFonts w:ascii="Calibri" w:hAnsi="Calibri"/>
                <w:b w:val="0"/>
                <w:color w:val="0B2545"/>
                <w:sz w:val="17"/>
              </w:rPr>
              <w:t>Cross-session semantic recall for a single customer</w:t>
            </w:r>
          </w:p>
        </w:tc>
        <w:tc>
          <w:tcPr>
            <w:tcW w:type="dxa" w:w="2736"/>
            <w:vAlign w:val="center"/>
          </w:tcPr>
          <w:p>
            <w:pPr>
              <w:spacing w:after="40"/>
            </w:pPr>
            <w:r/>
            <w:r>
              <w:rPr>
                <w:rFonts w:ascii="Calibri" w:hAnsi="Calibri"/>
                <w:b w:val="0"/>
                <w:color w:val="0B2545"/>
                <w:sz w:val="17"/>
              </w:rPr>
              <w:t>Mem0 + Pinecone + Ollama embeddings</w:t>
            </w:r>
          </w:p>
        </w:tc>
      </w:tr>
      <w:tr>
        <w:tc>
          <w:tcPr>
            <w:tcW w:type="dxa" w:w="1944"/>
            <w:vAlign w:val="center"/>
            <w:shd w:fill="F4F6F9"/>
          </w:tcPr>
          <w:p>
            <w:pPr>
              <w:spacing w:after="40"/>
            </w:pPr>
            <w:r/>
            <w:r>
              <w:rPr>
                <w:rFonts w:ascii="Calibri" w:hAnsi="Calibri"/>
                <w:b w:val="0"/>
                <w:color w:val="0B2545"/>
                <w:sz w:val="17"/>
              </w:rPr>
              <w:t>Human handoff</w:t>
            </w:r>
          </w:p>
        </w:tc>
        <w:tc>
          <w:tcPr>
            <w:tcW w:type="dxa" w:w="4680"/>
            <w:vAlign w:val="center"/>
            <w:shd w:fill="F4F6F9"/>
          </w:tcPr>
          <w:p>
            <w:pPr>
              <w:spacing w:after="40"/>
            </w:pPr>
            <w:r/>
            <w:r>
              <w:rPr>
                <w:rFonts w:ascii="Calibri" w:hAnsi="Calibri"/>
                <w:b w:val="0"/>
                <w:color w:val="0B2545"/>
                <w:sz w:val="17"/>
              </w:rPr>
              <w:t>Three concise bullets and expandable session summaries</w:t>
            </w:r>
          </w:p>
        </w:tc>
        <w:tc>
          <w:tcPr>
            <w:tcW w:type="dxa" w:w="2736"/>
            <w:vAlign w:val="center"/>
            <w:shd w:fill="F4F6F9"/>
          </w:tcPr>
          <w:p>
            <w:pPr>
              <w:spacing w:after="40"/>
            </w:pPr>
            <w:r/>
            <w:r>
              <w:rPr>
                <w:rFonts w:ascii="Calibri" w:hAnsi="Calibri"/>
                <w:b w:val="0"/>
                <w:color w:val="0B2545"/>
                <w:sz w:val="17"/>
              </w:rPr>
              <w:t>Flask + precomputed profiles</w:t>
            </w:r>
          </w:p>
        </w:tc>
      </w:tr>
      <w:tr>
        <w:tc>
          <w:tcPr>
            <w:tcW w:type="dxa" w:w="1944"/>
            <w:vAlign w:val="center"/>
          </w:tcPr>
          <w:p>
            <w:pPr>
              <w:spacing w:after="40"/>
            </w:pPr>
            <w:r/>
            <w:r>
              <w:rPr>
                <w:rFonts w:ascii="Calibri" w:hAnsi="Calibri"/>
                <w:b w:val="0"/>
                <w:color w:val="0B2545"/>
                <w:sz w:val="17"/>
              </w:rPr>
              <w:t>Knowledge fallback</w:t>
            </w:r>
          </w:p>
        </w:tc>
        <w:tc>
          <w:tcPr>
            <w:tcW w:type="dxa" w:w="4680"/>
            <w:vAlign w:val="center"/>
          </w:tcPr>
          <w:p>
            <w:pPr>
              <w:spacing w:after="40"/>
            </w:pPr>
            <w:r/>
            <w:r>
              <w:rPr>
                <w:rFonts w:ascii="Calibri" w:hAnsi="Calibri"/>
                <w:b w:val="0"/>
                <w:color w:val="0B2545"/>
                <w:sz w:val="17"/>
              </w:rPr>
              <w:t>Bot KB first, approved agent knowledge second</w:t>
            </w:r>
          </w:p>
        </w:tc>
        <w:tc>
          <w:tcPr>
            <w:tcW w:type="dxa" w:w="2736"/>
            <w:vAlign w:val="center"/>
          </w:tcPr>
          <w:p>
            <w:pPr>
              <w:spacing w:after="40"/>
            </w:pPr>
            <w:r/>
            <w:r>
              <w:rPr>
                <w:rFonts w:ascii="Calibri" w:hAnsi="Calibri"/>
                <w:b w:val="0"/>
                <w:color w:val="0B2545"/>
                <w:sz w:val="17"/>
              </w:rPr>
              <w:t>Versioned SQL state + Pinecone candidates</w:t>
            </w:r>
          </w:p>
        </w:tc>
      </w:tr>
      <w:tr>
        <w:tc>
          <w:tcPr>
            <w:tcW w:type="dxa" w:w="1944"/>
            <w:vAlign w:val="center"/>
            <w:shd w:fill="F4F6F9"/>
          </w:tcPr>
          <w:p>
            <w:pPr>
              <w:spacing w:after="40"/>
            </w:pPr>
            <w:r/>
            <w:r>
              <w:rPr>
                <w:rFonts w:ascii="Calibri" w:hAnsi="Calibri"/>
                <w:b w:val="0"/>
                <w:color w:val="0B2545"/>
                <w:sz w:val="17"/>
              </w:rPr>
              <w:t>Analytics</w:t>
            </w:r>
          </w:p>
        </w:tc>
        <w:tc>
          <w:tcPr>
            <w:tcW w:type="dxa" w:w="4680"/>
            <w:vAlign w:val="center"/>
            <w:shd w:fill="F4F6F9"/>
          </w:tcPr>
          <w:p>
            <w:pPr>
              <w:spacing w:after="40"/>
            </w:pPr>
            <w:r/>
            <w:r>
              <w:rPr>
                <w:rFonts w:ascii="Calibri" w:hAnsi="Calibri"/>
                <w:b w:val="0"/>
                <w:color w:val="0B2545"/>
                <w:sz w:val="17"/>
              </w:rPr>
              <w:t>Issues, sentiment, resolution and missing-topic trends</w:t>
            </w:r>
          </w:p>
        </w:tc>
        <w:tc>
          <w:tcPr>
            <w:tcW w:type="dxa" w:w="2736"/>
            <w:vAlign w:val="center"/>
            <w:shd w:fill="F4F6F9"/>
          </w:tcPr>
          <w:p>
            <w:pPr>
              <w:spacing w:after="40"/>
            </w:pPr>
            <w:r/>
            <w:r>
              <w:rPr>
                <w:rFonts w:ascii="Calibri" w:hAnsi="Calibri"/>
                <w:b w:val="0"/>
                <w:color w:val="0B2545"/>
                <w:sz w:val="17"/>
              </w:rPr>
              <w:t>Structured event store + deterministic aggregation</w:t>
            </w:r>
          </w:p>
        </w:tc>
      </w:tr>
      <w:tr>
        <w:tc>
          <w:tcPr>
            <w:tcW w:type="dxa" w:w="1944"/>
            <w:vAlign w:val="center"/>
          </w:tcPr>
          <w:p>
            <w:pPr>
              <w:spacing w:after="40"/>
            </w:pPr>
            <w:r/>
            <w:r>
              <w:rPr>
                <w:rFonts w:ascii="Calibri" w:hAnsi="Calibri"/>
                <w:b w:val="0"/>
                <w:color w:val="0B2545"/>
                <w:sz w:val="17"/>
              </w:rPr>
              <w:t>Organization tone</w:t>
            </w:r>
          </w:p>
        </w:tc>
        <w:tc>
          <w:tcPr>
            <w:tcW w:type="dxa" w:w="4680"/>
            <w:vAlign w:val="center"/>
          </w:tcPr>
          <w:p>
            <w:pPr>
              <w:spacing w:after="40"/>
            </w:pPr>
            <w:r/>
            <w:r>
              <w:rPr>
                <w:rFonts w:ascii="Calibri" w:hAnsi="Calibri"/>
                <w:b w:val="0"/>
                <w:color w:val="0B2545"/>
                <w:sz w:val="17"/>
              </w:rPr>
              <w:t>Style-only rewrite without changing facts</w:t>
            </w:r>
          </w:p>
        </w:tc>
        <w:tc>
          <w:tcPr>
            <w:tcW w:type="dxa" w:w="2736"/>
            <w:vAlign w:val="center"/>
          </w:tcPr>
          <w:p>
            <w:pPr>
              <w:spacing w:after="40"/>
            </w:pPr>
            <w:r/>
            <w:r>
              <w:rPr>
                <w:rFonts w:ascii="Calibri" w:hAnsi="Calibri"/>
                <w:b w:val="0"/>
                <w:color w:val="0B2545"/>
                <w:sz w:val="17"/>
              </w:rPr>
              <w:t>Groq with safe fallback</w:t>
            </w:r>
          </w:p>
        </w:tc>
      </w:tr>
    </w:tbl>
    <w:p>
      <w:pPr>
        <w:spacing w:after="40"/>
      </w:pPr>
    </w:p>
    <w:tbl>
      <w:tblPr>
        <w:tblW w:type="auto" w:w="0"/>
        <w:tblLayout w:type="fixed"/>
        <w:tblLook w:firstColumn="1" w:firstRow="1" w:lastColumn="0" w:lastRow="0" w:noHBand="0" w:noVBand="1" w:val="04A0"/>
      </w:tblPr>
      <w:tblGrid>
        <w:gridCol w:w="9360"/>
      </w:tblGrid>
      <w:tr>
        <w:tc>
          <w:tcPr>
            <w:tcW w:type="dxa" w:w="9360"/>
            <w:shd w:fill="EEF4FF"/>
          </w:tcPr>
          <w:p>
            <w:pPr>
              <w:spacing w:after="60"/>
            </w:pPr>
            <w:r>
              <w:rPr>
                <w:b/>
                <w:color w:val="0F766E"/>
              </w:rPr>
              <w:t xml:space="preserve">Current status  </w:t>
            </w:r>
            <w:r>
              <w:t>Locally demonstrable, committed to GitHub, real Mem0/Pinecone save-search verified, and 48 automated tests passing. It is a production-oriented prototype, not yet a production deployment.</w:t>
            </w:r>
          </w:p>
        </w:tc>
      </w:tr>
    </w:tbl>
    <w:p>
      <w:pPr>
        <w:pStyle w:val="Heading1"/>
      </w:pPr>
      <w:r>
        <w:t>2. Problem and Objectives</w:t>
      </w:r>
    </w:p>
    <w:p>
      <w:r>
        <w:t>Customer-support conversations often restart from zero. Agents reread long histories, bots forget prior context, useful resolutions remain trapped in transcripts, and managers cannot see which topics the bot fails to answer. The project addresses these gaps through four objectives:</w:t>
      </w:r>
    </w:p>
    <w:p>
      <w:pPr>
        <w:pStyle w:val="ListBullet"/>
        <w:spacing w:after="80"/>
      </w:pPr>
      <w:r>
        <w:t>Remember useful customer context across sessions without mixing tenants or customers.</w:t>
      </w:r>
    </w:p>
    <w:p>
      <w:pPr>
        <w:pStyle w:val="ListBullet"/>
        <w:spacing w:after="80"/>
      </w:pPr>
      <w:r>
        <w:t>Give a human agent a short, actionable handoff instead of a transcript wall.</w:t>
      </w:r>
    </w:p>
    <w:p>
      <w:pPr>
        <w:pStyle w:val="ListBullet"/>
        <w:spacing w:after="80"/>
      </w:pPr>
      <w:r>
        <w:t>Turn only complete and reusable human-agent answers into governed organization knowledge.</w:t>
      </w:r>
    </w:p>
    <w:p>
      <w:pPr>
        <w:pStyle w:val="ListBullet"/>
        <w:spacing w:after="80"/>
      </w:pPr>
      <w:r>
        <w:t>Convert conversation events into operational analytics and missing-knowledge priorities.</w:t>
      </w:r>
    </w:p>
    <w:p>
      <w:r>
        <w:br w:type="page"/>
      </w:r>
    </w:p>
    <w:p>
      <w:pPr>
        <w:pStyle w:val="Heading1"/>
      </w:pPr>
      <w:r>
        <w:t>3. System Architecture</w:t>
      </w:r>
    </w:p>
    <w:p>
      <w:r>
        <w:t>The platform separates language generation, semantic retrieval, and authoritative business state. This is the central architectural decision.</w:t>
      </w:r>
    </w:p>
    <w:tbl>
      <w:tblPr>
        <w:tblW w:type="auto" w:w="0"/>
        <w:jc w:val="center"/>
        <w:tblLayout w:type="fixed"/>
        <w:tblLook w:firstColumn="1" w:firstRow="1" w:lastColumn="0" w:lastRow="0" w:noHBand="0" w:noVBand="1" w:val="04A0"/>
      </w:tblPr>
      <w:tblGrid>
        <w:gridCol w:w="3120"/>
        <w:gridCol w:w="3120"/>
        <w:gridCol w:w="3120"/>
      </w:tblGrid>
      <w:tr>
        <w:tc>
          <w:tcPr>
            <w:tcW w:type="dxa" w:w="1728"/>
            <w:vAlign w:val="center"/>
            <w:shd w:fill="0B2545"/>
          </w:tcPr>
          <w:p>
            <w:pPr>
              <w:spacing w:after="40"/>
            </w:pPr>
            <w:r/>
            <w:r>
              <w:rPr>
                <w:rFonts w:ascii="Calibri" w:hAnsi="Calibri"/>
                <w:b/>
                <w:color w:val="FFFFFF"/>
                <w:sz w:val="17"/>
              </w:rPr>
              <w:t>Layer</w:t>
            </w:r>
          </w:p>
        </w:tc>
        <w:tc>
          <w:tcPr>
            <w:tcW w:type="dxa" w:w="4464"/>
            <w:vAlign w:val="center"/>
            <w:shd w:fill="0B2545"/>
          </w:tcPr>
          <w:p>
            <w:pPr>
              <w:spacing w:after="40"/>
            </w:pPr>
            <w:r/>
            <w:r>
              <w:rPr>
                <w:rFonts w:ascii="Calibri" w:hAnsi="Calibri"/>
                <w:b/>
                <w:color w:val="FFFFFF"/>
                <w:sz w:val="17"/>
              </w:rPr>
              <w:t>Responsibility</w:t>
            </w:r>
          </w:p>
        </w:tc>
        <w:tc>
          <w:tcPr>
            <w:tcW w:type="dxa" w:w="3168"/>
            <w:vAlign w:val="center"/>
            <w:shd w:fill="0B2545"/>
          </w:tcPr>
          <w:p>
            <w:pPr>
              <w:spacing w:after="40"/>
            </w:pPr>
            <w:r/>
            <w:r>
              <w:rPr>
                <w:rFonts w:ascii="Calibri" w:hAnsi="Calibri"/>
                <w:b/>
                <w:color w:val="FFFFFF"/>
                <w:sz w:val="17"/>
              </w:rPr>
              <w:t>Does not do</w:t>
            </w:r>
          </w:p>
        </w:tc>
      </w:tr>
      <w:tr>
        <w:tc>
          <w:tcPr>
            <w:tcW w:type="dxa" w:w="1728"/>
            <w:vAlign w:val="center"/>
          </w:tcPr>
          <w:p>
            <w:pPr>
              <w:spacing w:after="40"/>
            </w:pPr>
            <w:r/>
            <w:r>
              <w:rPr>
                <w:rFonts w:ascii="Calibri" w:hAnsi="Calibri"/>
                <w:b w:val="0"/>
                <w:color w:val="0B2545"/>
                <w:sz w:val="17"/>
              </w:rPr>
              <w:t>Browser UIs</w:t>
            </w:r>
          </w:p>
        </w:tc>
        <w:tc>
          <w:tcPr>
            <w:tcW w:type="dxa" w:w="4464"/>
            <w:vAlign w:val="center"/>
          </w:tcPr>
          <w:p>
            <w:pPr>
              <w:spacing w:after="40"/>
            </w:pPr>
            <w:r/>
            <w:r>
              <w:rPr>
                <w:rFonts w:ascii="Calibri" w:hAnsi="Calibri"/>
                <w:b w:val="0"/>
                <w:color w:val="0B2545"/>
                <w:sz w:val="17"/>
              </w:rPr>
              <w:t>Chat, handoff, knowledge review, analytics and tool testing</w:t>
            </w:r>
          </w:p>
        </w:tc>
        <w:tc>
          <w:tcPr>
            <w:tcW w:type="dxa" w:w="3168"/>
            <w:vAlign w:val="center"/>
          </w:tcPr>
          <w:p>
            <w:pPr>
              <w:spacing w:after="40"/>
            </w:pPr>
            <w:r/>
            <w:r>
              <w:rPr>
                <w:rFonts w:ascii="Calibri" w:hAnsi="Calibri"/>
                <w:b w:val="0"/>
                <w:color w:val="0B2545"/>
                <w:sz w:val="17"/>
              </w:rPr>
              <w:t>Store provider secrets</w:t>
            </w:r>
          </w:p>
        </w:tc>
      </w:tr>
      <w:tr>
        <w:tc>
          <w:tcPr>
            <w:tcW w:type="dxa" w:w="1728"/>
            <w:vAlign w:val="center"/>
            <w:shd w:fill="F4F6F9"/>
          </w:tcPr>
          <w:p>
            <w:pPr>
              <w:spacing w:after="40"/>
            </w:pPr>
            <w:r/>
            <w:r>
              <w:rPr>
                <w:rFonts w:ascii="Calibri" w:hAnsi="Calibri"/>
                <w:b w:val="0"/>
                <w:color w:val="0B2545"/>
                <w:sz w:val="17"/>
              </w:rPr>
              <w:t>Flask API</w:t>
            </w:r>
          </w:p>
        </w:tc>
        <w:tc>
          <w:tcPr>
            <w:tcW w:type="dxa" w:w="4464"/>
            <w:vAlign w:val="center"/>
            <w:shd w:fill="F4F6F9"/>
          </w:tcPr>
          <w:p>
            <w:pPr>
              <w:spacing w:after="40"/>
            </w:pPr>
            <w:r/>
            <w:r>
              <w:rPr>
                <w:rFonts w:ascii="Calibri" w:hAnsi="Calibri"/>
                <w:b w:val="0"/>
                <w:color w:val="0B2545"/>
                <w:sz w:val="17"/>
              </w:rPr>
              <w:t>Validate, authenticate, enforce scope and dispatch tools</w:t>
            </w:r>
          </w:p>
        </w:tc>
        <w:tc>
          <w:tcPr>
            <w:tcW w:type="dxa" w:w="3168"/>
            <w:vAlign w:val="center"/>
            <w:shd w:fill="F4F6F9"/>
          </w:tcPr>
          <w:p>
            <w:pPr>
              <w:spacing w:after="40"/>
            </w:pPr>
            <w:r/>
            <w:r>
              <w:rPr>
                <w:rFonts w:ascii="Calibri" w:hAnsi="Calibri"/>
                <w:b w:val="0"/>
                <w:color w:val="0B2545"/>
                <w:sz w:val="17"/>
              </w:rPr>
              <w:t>Act as a vector database</w:t>
            </w:r>
          </w:p>
        </w:tc>
      </w:tr>
      <w:tr>
        <w:tc>
          <w:tcPr>
            <w:tcW w:type="dxa" w:w="1728"/>
            <w:vAlign w:val="center"/>
          </w:tcPr>
          <w:p>
            <w:pPr>
              <w:spacing w:after="40"/>
            </w:pPr>
            <w:r/>
            <w:r>
              <w:rPr>
                <w:rFonts w:ascii="Calibri" w:hAnsi="Calibri"/>
                <w:b w:val="0"/>
                <w:color w:val="0B2545"/>
                <w:sz w:val="17"/>
              </w:rPr>
              <w:t>Mem0</w:t>
            </w:r>
          </w:p>
        </w:tc>
        <w:tc>
          <w:tcPr>
            <w:tcW w:type="dxa" w:w="4464"/>
            <w:vAlign w:val="center"/>
          </w:tcPr>
          <w:p>
            <w:pPr>
              <w:spacing w:after="40"/>
            </w:pPr>
            <w:r/>
            <w:r>
              <w:rPr>
                <w:rFonts w:ascii="Calibri" w:hAnsi="Calibri"/>
                <w:b w:val="0"/>
                <w:color w:val="0B2545"/>
                <w:sz w:val="17"/>
              </w:rPr>
              <w:t>Extract and retrieve conversational memories</w:t>
            </w:r>
          </w:p>
        </w:tc>
        <w:tc>
          <w:tcPr>
            <w:tcW w:type="dxa" w:w="3168"/>
            <w:vAlign w:val="center"/>
          </w:tcPr>
          <w:p>
            <w:pPr>
              <w:spacing w:after="40"/>
            </w:pPr>
            <w:r/>
            <w:r>
              <w:rPr>
                <w:rFonts w:ascii="Calibri" w:hAnsi="Calibri"/>
                <w:b w:val="0"/>
                <w:color w:val="0B2545"/>
                <w:sz w:val="17"/>
              </w:rPr>
              <w:t>Own article lifecycle or dashboard totals</w:t>
            </w:r>
          </w:p>
        </w:tc>
      </w:tr>
      <w:tr>
        <w:tc>
          <w:tcPr>
            <w:tcW w:type="dxa" w:w="1728"/>
            <w:vAlign w:val="center"/>
            <w:shd w:fill="F4F6F9"/>
          </w:tcPr>
          <w:p>
            <w:pPr>
              <w:spacing w:after="40"/>
            </w:pPr>
            <w:r/>
            <w:r>
              <w:rPr>
                <w:rFonts w:ascii="Calibri" w:hAnsi="Calibri"/>
                <w:b w:val="0"/>
                <w:color w:val="0B2545"/>
                <w:sz w:val="17"/>
              </w:rPr>
              <w:t>Pinecone</w:t>
            </w:r>
          </w:p>
        </w:tc>
        <w:tc>
          <w:tcPr>
            <w:tcW w:type="dxa" w:w="4464"/>
            <w:vAlign w:val="center"/>
            <w:shd w:fill="F4F6F9"/>
          </w:tcPr>
          <w:p>
            <w:pPr>
              <w:spacing w:after="40"/>
            </w:pPr>
            <w:r/>
            <w:r>
              <w:rPr>
                <w:rFonts w:ascii="Calibri" w:hAnsi="Calibri"/>
                <w:b w:val="0"/>
                <w:color w:val="0B2545"/>
                <w:sz w:val="17"/>
              </w:rPr>
              <w:t>Store organization-namespaced vectors for semantic search</w:t>
            </w:r>
          </w:p>
        </w:tc>
        <w:tc>
          <w:tcPr>
            <w:tcW w:type="dxa" w:w="3168"/>
            <w:vAlign w:val="center"/>
            <w:shd w:fill="F4F6F9"/>
          </w:tcPr>
          <w:p>
            <w:pPr>
              <w:spacing w:after="40"/>
            </w:pPr>
            <w:r/>
            <w:r>
              <w:rPr>
                <w:rFonts w:ascii="Calibri" w:hAnsi="Calibri"/>
                <w:b w:val="0"/>
                <w:color w:val="0B2545"/>
                <w:sz w:val="17"/>
              </w:rPr>
              <w:t>Transactions, joins or authoritative version state</w:t>
            </w:r>
          </w:p>
        </w:tc>
      </w:tr>
      <w:tr>
        <w:tc>
          <w:tcPr>
            <w:tcW w:type="dxa" w:w="1728"/>
            <w:vAlign w:val="center"/>
          </w:tcPr>
          <w:p>
            <w:pPr>
              <w:spacing w:after="40"/>
            </w:pPr>
            <w:r/>
            <w:r>
              <w:rPr>
                <w:rFonts w:ascii="Calibri" w:hAnsi="Calibri"/>
                <w:b w:val="0"/>
                <w:color w:val="0B2545"/>
                <w:sz w:val="17"/>
              </w:rPr>
              <w:t>Groq</w:t>
            </w:r>
          </w:p>
        </w:tc>
        <w:tc>
          <w:tcPr>
            <w:tcW w:type="dxa" w:w="4464"/>
            <w:vAlign w:val="center"/>
          </w:tcPr>
          <w:p>
            <w:pPr>
              <w:spacing w:after="40"/>
            </w:pPr>
            <w:r/>
            <w:r>
              <w:rPr>
                <w:rFonts w:ascii="Calibri" w:hAnsi="Calibri"/>
                <w:b w:val="0"/>
                <w:color w:val="0B2545"/>
                <w:sz w:val="17"/>
              </w:rPr>
              <w:t>Summarization, curation and tone language tasks</w:t>
            </w:r>
          </w:p>
        </w:tc>
        <w:tc>
          <w:tcPr>
            <w:tcW w:type="dxa" w:w="3168"/>
            <w:vAlign w:val="center"/>
          </w:tcPr>
          <w:p>
            <w:pPr>
              <w:spacing w:after="40"/>
            </w:pPr>
            <w:r/>
            <w:r>
              <w:rPr>
                <w:rFonts w:ascii="Calibri" w:hAnsi="Calibri"/>
                <w:b w:val="0"/>
                <w:color w:val="0B2545"/>
                <w:sz w:val="17"/>
              </w:rPr>
              <w:t>Persistent storage</w:t>
            </w:r>
          </w:p>
        </w:tc>
      </w:tr>
      <w:tr>
        <w:tc>
          <w:tcPr>
            <w:tcW w:type="dxa" w:w="1728"/>
            <w:vAlign w:val="center"/>
            <w:shd w:fill="F4F6F9"/>
          </w:tcPr>
          <w:p>
            <w:pPr>
              <w:spacing w:after="40"/>
            </w:pPr>
            <w:r/>
            <w:r>
              <w:rPr>
                <w:rFonts w:ascii="Calibri" w:hAnsi="Calibri"/>
                <w:b w:val="0"/>
                <w:color w:val="0B2545"/>
                <w:sz w:val="17"/>
              </w:rPr>
              <w:t>SQLite demo</w:t>
            </w:r>
          </w:p>
        </w:tc>
        <w:tc>
          <w:tcPr>
            <w:tcW w:type="dxa" w:w="4464"/>
            <w:vAlign w:val="center"/>
            <w:shd w:fill="F4F6F9"/>
          </w:tcPr>
          <w:p>
            <w:pPr>
              <w:spacing w:after="40"/>
            </w:pPr>
            <w:r/>
            <w:r>
              <w:rPr>
                <w:rFonts w:ascii="Calibri" w:hAnsi="Calibri"/>
                <w:b w:val="0"/>
                <w:color w:val="0B2545"/>
                <w:sz w:val="17"/>
              </w:rPr>
              <w:t>Messages, profiles, summaries, analytics, versions and audits</w:t>
            </w:r>
          </w:p>
        </w:tc>
        <w:tc>
          <w:tcPr>
            <w:tcW w:type="dxa" w:w="3168"/>
            <w:vAlign w:val="center"/>
            <w:shd w:fill="F4F6F9"/>
          </w:tcPr>
          <w:p>
            <w:pPr>
              <w:spacing w:after="40"/>
            </w:pPr>
            <w:r/>
            <w:r>
              <w:rPr>
                <w:rFonts w:ascii="Calibri" w:hAnsi="Calibri"/>
                <w:b w:val="0"/>
                <w:color w:val="0B2545"/>
                <w:sz w:val="17"/>
              </w:rPr>
              <w:t>Production-scale distributed operation</w:t>
            </w:r>
          </w:p>
        </w:tc>
      </w:tr>
      <w:tr>
        <w:tc>
          <w:tcPr>
            <w:tcW w:type="dxa" w:w="1728"/>
            <w:vAlign w:val="center"/>
          </w:tcPr>
          <w:p>
            <w:pPr>
              <w:spacing w:after="40"/>
            </w:pPr>
            <w:r/>
            <w:r>
              <w:rPr>
                <w:rFonts w:ascii="Calibri" w:hAnsi="Calibri"/>
                <w:b w:val="0"/>
                <w:color w:val="0B2545"/>
                <w:sz w:val="17"/>
              </w:rPr>
              <w:t>Redis optional</w:t>
            </w:r>
          </w:p>
        </w:tc>
        <w:tc>
          <w:tcPr>
            <w:tcW w:type="dxa" w:w="4464"/>
            <w:vAlign w:val="center"/>
          </w:tcPr>
          <w:p>
            <w:pPr>
              <w:spacing w:after="40"/>
            </w:pPr>
            <w:r/>
            <w:r>
              <w:rPr>
                <w:rFonts w:ascii="Calibri" w:hAnsi="Calibri"/>
                <w:b w:val="0"/>
                <w:color w:val="0B2545"/>
                <w:sz w:val="17"/>
              </w:rPr>
              <w:t>Shared low-latency profile cache in production</w:t>
            </w:r>
          </w:p>
        </w:tc>
        <w:tc>
          <w:tcPr>
            <w:tcW w:type="dxa" w:w="3168"/>
            <w:vAlign w:val="center"/>
          </w:tcPr>
          <w:p>
            <w:pPr>
              <w:spacing w:after="40"/>
            </w:pPr>
            <w:r/>
            <w:r>
              <w:rPr>
                <w:rFonts w:ascii="Calibri" w:hAnsi="Calibri"/>
                <w:b w:val="0"/>
                <w:color w:val="0B2545"/>
                <w:sz w:val="17"/>
              </w:rPr>
              <w:t>System of record</w:t>
            </w:r>
          </w:p>
        </w:tc>
      </w:tr>
    </w:tbl>
    <w:p>
      <w:pPr>
        <w:spacing w:after="40"/>
      </w:pPr>
    </w:p>
    <w:p>
      <w:pPr>
        <w:pStyle w:val="Heading2"/>
      </w:pPr>
      <w:r>
        <w:t>3.1 Request flow</w:t>
      </w:r>
    </w:p>
    <w:p>
      <w:pPr>
        <w:pStyle w:val="ListNumber"/>
        <w:numPr>
          <w:ilvl w:val="0"/>
          <w:numId w:val="10"/>
        </w:numPr>
        <w:spacing w:after="80"/>
      </w:pPr>
      <w:r>
        <w:t>User action reaches a Flask page or JSON endpoint.</w:t>
      </w:r>
    </w:p>
    <w:p>
      <w:pPr>
        <w:pStyle w:val="ListNumber"/>
        <w:numPr>
          <w:ilvl w:val="0"/>
          <w:numId w:val="10"/>
        </w:numPr>
        <w:spacing w:after="80"/>
      </w:pPr>
      <w:r>
        <w:t>Flask validates service key, required fields, role and organization scope.</w:t>
      </w:r>
    </w:p>
    <w:p>
      <w:pPr>
        <w:pStyle w:val="ListNumber"/>
        <w:numPr>
          <w:ilvl w:val="0"/>
          <w:numId w:val="10"/>
        </w:numPr>
        <w:spacing w:after="80"/>
      </w:pPr>
      <w:r>
        <w:t>The tool registry chooses the correct memory, knowledge, handoff or analytics operation.</w:t>
      </w:r>
    </w:p>
    <w:p>
      <w:pPr>
        <w:pStyle w:val="ListNumber"/>
        <w:numPr>
          <w:ilvl w:val="0"/>
          <w:numId w:val="10"/>
        </w:numPr>
        <w:spacing w:after="80"/>
      </w:pPr>
      <w:r>
        <w:t>Mem0/Pinecone or structured SQL retrieves evidence; Groq is called only where language generation is needed.</w:t>
      </w:r>
    </w:p>
    <w:p>
      <w:pPr>
        <w:pStyle w:val="ListNumber"/>
        <w:numPr>
          <w:ilvl w:val="0"/>
          <w:numId w:val="10"/>
        </w:numPr>
        <w:spacing w:after="80"/>
      </w:pPr>
      <w:r>
        <w:t>The final response returns with grounding metadata and is stored as conversation history.</w:t>
      </w:r>
    </w:p>
    <w:p>
      <w:pPr>
        <w:pStyle w:val="Heading2"/>
      </w:pPr>
      <w:r>
        <w:t>3.2 Tenant isolation</w:t>
      </w:r>
    </w:p>
    <w:p>
      <w:pPr>
        <w:pStyle w:val="ListBullet"/>
        <w:spacing w:after="80"/>
      </w:pPr>
      <w:r>
        <w:t>Pinecone namespace is derived from organization scope.</w:t>
      </w:r>
    </w:p>
    <w:p>
      <w:pPr>
        <w:pStyle w:val="ListBullet"/>
        <w:spacing w:after="80"/>
      </w:pPr>
      <w:r>
        <w:t>Customer Mem0 identity is an opaque hash of organization plus normalized mobile number.</w:t>
      </w:r>
    </w:p>
    <w:p>
      <w:pPr>
        <w:pStyle w:val="ListBullet"/>
        <w:spacing w:after="80"/>
      </w:pPr>
      <w:r>
        <w:t>Relational queries always include organization scope.</w:t>
      </w:r>
    </w:p>
    <w:p>
      <w:pPr>
        <w:pStyle w:val="ListBullet"/>
        <w:spacing w:after="80"/>
      </w:pPr>
      <w:r>
        <w:t>Flask rejects a mismatch between the claimed organization header and tool arguments.</w:t>
      </w:r>
    </w:p>
    <w:p>
      <w:pPr>
        <w:pStyle w:val="ListBullet"/>
        <w:spacing w:after="80"/>
      </w:pPr>
      <w:r>
        <w:t>Production must derive organization and role from signed authentication claims.</w:t>
      </w:r>
    </w:p>
    <w:p>
      <w:r>
        <w:br w:type="page"/>
      </w:r>
    </w:p>
    <w:p>
      <w:pPr>
        <w:pStyle w:val="Heading1"/>
      </w:pPr>
      <w:r>
        <w:t>4. Tool Catalog and Activation</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232"/>
            <w:vAlign w:val="center"/>
            <w:shd w:fill="0B2545"/>
          </w:tcPr>
          <w:p>
            <w:pPr>
              <w:spacing w:after="40"/>
            </w:pPr>
            <w:r/>
            <w:r>
              <w:rPr>
                <w:rFonts w:ascii="Calibri" w:hAnsi="Calibri"/>
                <w:b/>
                <w:color w:val="FFFFFF"/>
                <w:sz w:val="17"/>
              </w:rPr>
              <w:t>Tool</w:t>
            </w:r>
          </w:p>
        </w:tc>
        <w:tc>
          <w:tcPr>
            <w:tcW w:type="dxa" w:w="2232"/>
            <w:vAlign w:val="center"/>
            <w:shd w:fill="0B2545"/>
          </w:tcPr>
          <w:p>
            <w:pPr>
              <w:spacing w:after="40"/>
            </w:pPr>
            <w:r/>
            <w:r>
              <w:rPr>
                <w:rFonts w:ascii="Calibri" w:hAnsi="Calibri"/>
                <w:b/>
                <w:color w:val="FFFFFF"/>
                <w:sz w:val="17"/>
              </w:rPr>
              <w:t>Activates when</w:t>
            </w:r>
          </w:p>
        </w:tc>
        <w:tc>
          <w:tcPr>
            <w:tcW w:type="dxa" w:w="3096"/>
            <w:vAlign w:val="center"/>
            <w:shd w:fill="0B2545"/>
          </w:tcPr>
          <w:p>
            <w:pPr>
              <w:spacing w:after="40"/>
            </w:pPr>
            <w:r/>
            <w:r>
              <w:rPr>
                <w:rFonts w:ascii="Calibri" w:hAnsi="Calibri"/>
                <w:b/>
                <w:color w:val="FFFFFF"/>
                <w:sz w:val="17"/>
              </w:rPr>
              <w:t>Outcome</w:t>
            </w:r>
          </w:p>
        </w:tc>
        <w:tc>
          <w:tcPr>
            <w:tcW w:type="dxa" w:w="1800"/>
            <w:vAlign w:val="center"/>
            <w:shd w:fill="0B2545"/>
          </w:tcPr>
          <w:p>
            <w:pPr>
              <w:spacing w:after="40"/>
            </w:pPr>
            <w:r/>
            <w:r>
              <w:rPr>
                <w:rFonts w:ascii="Calibri" w:hAnsi="Calibri"/>
                <w:b/>
                <w:color w:val="FFFFFF"/>
                <w:sz w:val="17"/>
              </w:rPr>
              <w:t>Core dependency</w:t>
            </w:r>
          </w:p>
        </w:tc>
      </w:tr>
      <w:tr>
        <w:tc>
          <w:tcPr>
            <w:tcW w:type="dxa" w:w="2232"/>
            <w:vAlign w:val="center"/>
          </w:tcPr>
          <w:p>
            <w:pPr>
              <w:spacing w:after="40"/>
            </w:pPr>
            <w:r/>
            <w:r>
              <w:rPr>
                <w:rFonts w:ascii="Calibri" w:hAnsi="Calibri"/>
                <w:b w:val="0"/>
                <w:color w:val="0B2545"/>
                <w:sz w:val="17"/>
              </w:rPr>
              <w:t>save_customer_memory</w:t>
            </w:r>
          </w:p>
        </w:tc>
        <w:tc>
          <w:tcPr>
            <w:tcW w:type="dxa" w:w="2232"/>
            <w:vAlign w:val="center"/>
          </w:tcPr>
          <w:p>
            <w:pPr>
              <w:spacing w:after="40"/>
            </w:pPr>
            <w:r/>
            <w:r>
              <w:rPr>
                <w:rFonts w:ascii="Calibri" w:hAnsi="Calibri"/>
                <w:b w:val="0"/>
                <w:color w:val="0B2545"/>
                <w:sz w:val="17"/>
              </w:rPr>
              <w:t>After every customer or assistant message</w:t>
            </w:r>
          </w:p>
        </w:tc>
        <w:tc>
          <w:tcPr>
            <w:tcW w:type="dxa" w:w="3096"/>
            <w:vAlign w:val="center"/>
          </w:tcPr>
          <w:p>
            <w:pPr>
              <w:spacing w:after="40"/>
            </w:pPr>
            <w:r/>
            <w:r>
              <w:rPr>
                <w:rFonts w:ascii="Calibri" w:hAnsi="Calibri"/>
                <w:b w:val="0"/>
                <w:color w:val="0B2545"/>
                <w:sz w:val="17"/>
              </w:rPr>
              <w:t>Writes conversation memory and analytics event</w:t>
            </w:r>
          </w:p>
        </w:tc>
        <w:tc>
          <w:tcPr>
            <w:tcW w:type="dxa" w:w="1800"/>
            <w:vAlign w:val="center"/>
          </w:tcPr>
          <w:p>
            <w:pPr>
              <w:spacing w:after="40"/>
            </w:pPr>
            <w:r/>
            <w:r>
              <w:rPr>
                <w:rFonts w:ascii="Calibri" w:hAnsi="Calibri"/>
                <w:b w:val="0"/>
                <w:color w:val="0B2545"/>
                <w:sz w:val="17"/>
              </w:rPr>
              <w:t>Mem0/Pinecone + SQL</w:t>
            </w:r>
          </w:p>
        </w:tc>
      </w:tr>
      <w:tr>
        <w:tc>
          <w:tcPr>
            <w:tcW w:type="dxa" w:w="2232"/>
            <w:vAlign w:val="center"/>
            <w:shd w:fill="F4F6F9"/>
          </w:tcPr>
          <w:p>
            <w:pPr>
              <w:spacing w:after="40"/>
            </w:pPr>
            <w:r/>
            <w:r>
              <w:rPr>
                <w:rFonts w:ascii="Calibri" w:hAnsi="Calibri"/>
                <w:b w:val="0"/>
                <w:color w:val="0B2545"/>
                <w:sz w:val="17"/>
              </w:rPr>
              <w:t>search_customer_memory</w:t>
            </w:r>
          </w:p>
        </w:tc>
        <w:tc>
          <w:tcPr>
            <w:tcW w:type="dxa" w:w="2232"/>
            <w:vAlign w:val="center"/>
            <w:shd w:fill="F4F6F9"/>
          </w:tcPr>
          <w:p>
            <w:pPr>
              <w:spacing w:after="40"/>
            </w:pPr>
            <w:r/>
            <w:r>
              <w:rPr>
                <w:rFonts w:ascii="Calibri" w:hAnsi="Calibri"/>
                <w:b w:val="0"/>
                <w:color w:val="0B2545"/>
                <w:sz w:val="17"/>
              </w:rPr>
              <w:t>Explicit personal-history question</w:t>
            </w:r>
          </w:p>
        </w:tc>
        <w:tc>
          <w:tcPr>
            <w:tcW w:type="dxa" w:w="3096"/>
            <w:vAlign w:val="center"/>
            <w:shd w:fill="F4F6F9"/>
          </w:tcPr>
          <w:p>
            <w:pPr>
              <w:spacing w:after="40"/>
            </w:pPr>
            <w:r/>
            <w:r>
              <w:rPr>
                <w:rFonts w:ascii="Calibri" w:hAnsi="Calibri"/>
                <w:b w:val="0"/>
                <w:color w:val="0B2545"/>
                <w:sz w:val="17"/>
              </w:rPr>
              <w:t>Cross-session semantic recall; general questions are skipped</w:t>
            </w:r>
          </w:p>
        </w:tc>
        <w:tc>
          <w:tcPr>
            <w:tcW w:type="dxa" w:w="1800"/>
            <w:vAlign w:val="center"/>
            <w:shd w:fill="F4F6F9"/>
          </w:tcPr>
          <w:p>
            <w:pPr>
              <w:spacing w:after="40"/>
            </w:pPr>
            <w:r/>
            <w:r>
              <w:rPr>
                <w:rFonts w:ascii="Calibri" w:hAnsi="Calibri"/>
                <w:b w:val="0"/>
                <w:color w:val="0B2545"/>
                <w:sz w:val="17"/>
              </w:rPr>
              <w:t>Mem0/Pinecone + summary fallback</w:t>
            </w:r>
          </w:p>
        </w:tc>
      </w:tr>
      <w:tr>
        <w:tc>
          <w:tcPr>
            <w:tcW w:type="dxa" w:w="2232"/>
            <w:vAlign w:val="center"/>
          </w:tcPr>
          <w:p>
            <w:pPr>
              <w:spacing w:after="40"/>
            </w:pPr>
            <w:r/>
            <w:r>
              <w:rPr>
                <w:rFonts w:ascii="Calibri" w:hAnsi="Calibri"/>
                <w:b w:val="0"/>
                <w:color w:val="0B2545"/>
                <w:sz w:val="17"/>
              </w:rPr>
              <w:t>get_customer_memory_context</w:t>
            </w:r>
          </w:p>
        </w:tc>
        <w:tc>
          <w:tcPr>
            <w:tcW w:type="dxa" w:w="2232"/>
            <w:vAlign w:val="center"/>
          </w:tcPr>
          <w:p>
            <w:pPr>
              <w:spacing w:after="40"/>
            </w:pPr>
            <w:r/>
            <w:r>
              <w:rPr>
                <w:rFonts w:ascii="Calibri" w:hAnsi="Calibri"/>
                <w:b w:val="0"/>
                <w:color w:val="0B2545"/>
                <w:sz w:val="17"/>
              </w:rPr>
              <w:t>New session initialization</w:t>
            </w:r>
          </w:p>
        </w:tc>
        <w:tc>
          <w:tcPr>
            <w:tcW w:type="dxa" w:w="3096"/>
            <w:vAlign w:val="center"/>
          </w:tcPr>
          <w:p>
            <w:pPr>
              <w:spacing w:after="40"/>
            </w:pPr>
            <w:r/>
            <w:r>
              <w:rPr>
                <w:rFonts w:ascii="Calibri" w:hAnsi="Calibri"/>
                <w:b w:val="0"/>
                <w:color w:val="0B2545"/>
                <w:sz w:val="17"/>
              </w:rPr>
              <w:t>Returns counts, current issue and recent summaries</w:t>
            </w:r>
          </w:p>
        </w:tc>
        <w:tc>
          <w:tcPr>
            <w:tcW w:type="dxa" w:w="1800"/>
            <w:vAlign w:val="center"/>
          </w:tcPr>
          <w:p>
            <w:pPr>
              <w:spacing w:after="40"/>
            </w:pPr>
            <w:r/>
            <w:r>
              <w:rPr>
                <w:rFonts w:ascii="Calibri" w:hAnsi="Calibri"/>
                <w:b w:val="0"/>
                <w:color w:val="0B2545"/>
                <w:sz w:val="17"/>
              </w:rPr>
              <w:t>Precomputed profile</w:t>
            </w:r>
          </w:p>
        </w:tc>
      </w:tr>
      <w:tr>
        <w:tc>
          <w:tcPr>
            <w:tcW w:type="dxa" w:w="2232"/>
            <w:vAlign w:val="center"/>
            <w:shd w:fill="F4F6F9"/>
          </w:tcPr>
          <w:p>
            <w:pPr>
              <w:spacing w:after="40"/>
            </w:pPr>
            <w:r/>
            <w:r>
              <w:rPr>
                <w:rFonts w:ascii="Calibri" w:hAnsi="Calibri"/>
                <w:b w:val="0"/>
                <w:color w:val="0B2545"/>
                <w:sz w:val="17"/>
              </w:rPr>
              <w:t>get_contextual_welcome</w:t>
            </w:r>
          </w:p>
        </w:tc>
        <w:tc>
          <w:tcPr>
            <w:tcW w:type="dxa" w:w="2232"/>
            <w:vAlign w:val="center"/>
            <w:shd w:fill="F4F6F9"/>
          </w:tcPr>
          <w:p>
            <w:pPr>
              <w:spacing w:after="40"/>
            </w:pPr>
            <w:r/>
            <w:r>
              <w:rPr>
                <w:rFonts w:ascii="Calibri" w:hAnsi="Calibri"/>
                <w:b w:val="0"/>
                <w:color w:val="0B2545"/>
                <w:sz w:val="17"/>
              </w:rPr>
              <w:t>Chat opens / identity changes</w:t>
            </w:r>
          </w:p>
        </w:tc>
        <w:tc>
          <w:tcPr>
            <w:tcW w:type="dxa" w:w="3096"/>
            <w:vAlign w:val="center"/>
            <w:shd w:fill="F4F6F9"/>
          </w:tcPr>
          <w:p>
            <w:pPr>
              <w:spacing w:after="40"/>
            </w:pPr>
            <w:r/>
            <w:r>
              <w:rPr>
                <w:rFonts w:ascii="Calibri" w:hAnsi="Calibri"/>
                <w:b w:val="0"/>
                <w:color w:val="0B2545"/>
                <w:sz w:val="17"/>
              </w:rPr>
              <w:t>Greets returning customer using latest useful issue</w:t>
            </w:r>
          </w:p>
        </w:tc>
        <w:tc>
          <w:tcPr>
            <w:tcW w:type="dxa" w:w="1800"/>
            <w:vAlign w:val="center"/>
            <w:shd w:fill="F4F6F9"/>
          </w:tcPr>
          <w:p>
            <w:pPr>
              <w:spacing w:after="40"/>
            </w:pPr>
            <w:r/>
            <w:r>
              <w:rPr>
                <w:rFonts w:ascii="Calibri" w:hAnsi="Calibri"/>
                <w:b w:val="0"/>
                <w:color w:val="0B2545"/>
                <w:sz w:val="17"/>
              </w:rPr>
              <w:t>Profile + Groq tone</w:t>
            </w:r>
          </w:p>
        </w:tc>
      </w:tr>
      <w:tr>
        <w:tc>
          <w:tcPr>
            <w:tcW w:type="dxa" w:w="2232"/>
            <w:vAlign w:val="center"/>
          </w:tcPr>
          <w:p>
            <w:pPr>
              <w:spacing w:after="40"/>
            </w:pPr>
            <w:r/>
            <w:r>
              <w:rPr>
                <w:rFonts w:ascii="Calibri" w:hAnsi="Calibri"/>
                <w:b w:val="0"/>
                <w:color w:val="0B2545"/>
                <w:sz w:val="17"/>
              </w:rPr>
              <w:t>get_handoff_context</w:t>
            </w:r>
          </w:p>
        </w:tc>
        <w:tc>
          <w:tcPr>
            <w:tcW w:type="dxa" w:w="2232"/>
            <w:vAlign w:val="center"/>
          </w:tcPr>
          <w:p>
            <w:pPr>
              <w:spacing w:after="40"/>
            </w:pPr>
            <w:r/>
            <w:r>
              <w:rPr>
                <w:rFonts w:ascii="Calibri" w:hAnsi="Calibri"/>
                <w:b w:val="0"/>
                <w:color w:val="0B2545"/>
                <w:sz w:val="17"/>
              </w:rPr>
              <w:t>Escalation to human</w:t>
            </w:r>
          </w:p>
        </w:tc>
        <w:tc>
          <w:tcPr>
            <w:tcW w:type="dxa" w:w="3096"/>
            <w:vAlign w:val="center"/>
          </w:tcPr>
          <w:p>
            <w:pPr>
              <w:spacing w:after="40"/>
            </w:pPr>
            <w:r/>
            <w:r>
              <w:rPr>
                <w:rFonts w:ascii="Calibri" w:hAnsi="Calibri"/>
                <w:b w:val="0"/>
                <w:color w:val="0B2545"/>
                <w:sz w:val="17"/>
              </w:rPr>
              <w:t>Returns three bullets, counts and expandable sessions</w:t>
            </w:r>
          </w:p>
        </w:tc>
        <w:tc>
          <w:tcPr>
            <w:tcW w:type="dxa" w:w="1800"/>
            <w:vAlign w:val="center"/>
          </w:tcPr>
          <w:p>
            <w:pPr>
              <w:spacing w:after="40"/>
            </w:pPr>
            <w:r/>
            <w:r>
              <w:rPr>
                <w:rFonts w:ascii="Calibri" w:hAnsi="Calibri"/>
                <w:b w:val="0"/>
                <w:color w:val="0B2545"/>
                <w:sz w:val="17"/>
              </w:rPr>
              <w:t>Profile + session summaries</w:t>
            </w:r>
          </w:p>
        </w:tc>
      </w:tr>
      <w:tr>
        <w:tc>
          <w:tcPr>
            <w:tcW w:type="dxa" w:w="2232"/>
            <w:vAlign w:val="center"/>
            <w:shd w:fill="F4F6F9"/>
          </w:tcPr>
          <w:p>
            <w:pPr>
              <w:spacing w:after="40"/>
            </w:pPr>
            <w:r/>
            <w:r>
              <w:rPr>
                <w:rFonts w:ascii="Calibri" w:hAnsi="Calibri"/>
                <w:b w:val="0"/>
                <w:color w:val="0B2545"/>
                <w:sz w:val="17"/>
              </w:rPr>
              <w:t>get_organization_tone_profile</w:t>
            </w:r>
          </w:p>
        </w:tc>
        <w:tc>
          <w:tcPr>
            <w:tcW w:type="dxa" w:w="2232"/>
            <w:vAlign w:val="center"/>
            <w:shd w:fill="F4F6F9"/>
          </w:tcPr>
          <w:p>
            <w:pPr>
              <w:spacing w:after="40"/>
            </w:pPr>
            <w:r/>
            <w:r>
              <w:rPr>
                <w:rFonts w:ascii="Calibri" w:hAnsi="Calibri"/>
                <w:b w:val="0"/>
                <w:color w:val="0B2545"/>
                <w:sz w:val="17"/>
              </w:rPr>
              <w:t>Every customer-facing response / manual test</w:t>
            </w:r>
          </w:p>
        </w:tc>
        <w:tc>
          <w:tcPr>
            <w:tcW w:type="dxa" w:w="3096"/>
            <w:vAlign w:val="center"/>
            <w:shd w:fill="F4F6F9"/>
          </w:tcPr>
          <w:p>
            <w:pPr>
              <w:spacing w:after="40"/>
            </w:pPr>
            <w:r/>
            <w:r>
              <w:rPr>
                <w:rFonts w:ascii="Calibri" w:hAnsi="Calibri"/>
                <w:b w:val="0"/>
                <w:color w:val="0B2545"/>
                <w:sz w:val="17"/>
              </w:rPr>
              <w:t>Returns style guidance only; no facts</w:t>
            </w:r>
          </w:p>
        </w:tc>
        <w:tc>
          <w:tcPr>
            <w:tcW w:type="dxa" w:w="1800"/>
            <w:vAlign w:val="center"/>
            <w:shd w:fill="F4F6F9"/>
          </w:tcPr>
          <w:p>
            <w:pPr>
              <w:spacing w:after="40"/>
            </w:pPr>
            <w:r/>
            <w:r>
              <w:rPr>
                <w:rFonts w:ascii="Calibri" w:hAnsi="Calibri"/>
                <w:b w:val="0"/>
                <w:color w:val="0B2545"/>
                <w:sz w:val="17"/>
              </w:rPr>
              <w:t>Agent-message analysis</w:t>
            </w:r>
          </w:p>
        </w:tc>
      </w:tr>
      <w:tr>
        <w:tc>
          <w:tcPr>
            <w:tcW w:type="dxa" w:w="2232"/>
            <w:vAlign w:val="center"/>
          </w:tcPr>
          <w:p>
            <w:pPr>
              <w:spacing w:after="40"/>
            </w:pPr>
            <w:r/>
            <w:r>
              <w:rPr>
                <w:rFonts w:ascii="Calibri" w:hAnsi="Calibri"/>
                <w:b w:val="0"/>
                <w:color w:val="0B2545"/>
                <w:sz w:val="17"/>
              </w:rPr>
              <w:t>get_knowledge_curation_policy</w:t>
            </w:r>
          </w:p>
        </w:tc>
        <w:tc>
          <w:tcPr>
            <w:tcW w:type="dxa" w:w="2232"/>
            <w:vAlign w:val="center"/>
          </w:tcPr>
          <w:p>
            <w:pPr>
              <w:spacing w:after="40"/>
            </w:pPr>
            <w:r/>
            <w:r>
              <w:rPr>
                <w:rFonts w:ascii="Calibri" w:hAnsi="Calibri"/>
                <w:b w:val="0"/>
                <w:color w:val="0B2545"/>
                <w:sz w:val="17"/>
              </w:rPr>
              <w:t>Agent chat closes / admin inspection</w:t>
            </w:r>
          </w:p>
        </w:tc>
        <w:tc>
          <w:tcPr>
            <w:tcW w:type="dxa" w:w="3096"/>
            <w:vAlign w:val="center"/>
          </w:tcPr>
          <w:p>
            <w:pPr>
              <w:spacing w:after="40"/>
            </w:pPr>
            <w:r/>
            <w:r>
              <w:rPr>
                <w:rFonts w:ascii="Calibri" w:hAnsi="Calibri"/>
                <w:b w:val="0"/>
                <w:color w:val="0B2545"/>
                <w:sz w:val="17"/>
              </w:rPr>
              <w:t>Returns tenant-specific save and reject rules</w:t>
            </w:r>
          </w:p>
        </w:tc>
        <w:tc>
          <w:tcPr>
            <w:tcW w:type="dxa" w:w="1800"/>
            <w:vAlign w:val="center"/>
          </w:tcPr>
          <w:p>
            <w:pPr>
              <w:spacing w:after="40"/>
            </w:pPr>
            <w:r/>
            <w:r>
              <w:rPr>
                <w:rFonts w:ascii="Calibri" w:hAnsi="Calibri"/>
                <w:b w:val="0"/>
                <w:color w:val="0B2545"/>
                <w:sz w:val="17"/>
              </w:rPr>
              <w:t>Versioned policy state</w:t>
            </w:r>
          </w:p>
        </w:tc>
      </w:tr>
      <w:tr>
        <w:tc>
          <w:tcPr>
            <w:tcW w:type="dxa" w:w="2232"/>
            <w:vAlign w:val="center"/>
            <w:shd w:fill="F4F6F9"/>
          </w:tcPr>
          <w:p>
            <w:pPr>
              <w:spacing w:after="40"/>
            </w:pPr>
            <w:r/>
            <w:r>
              <w:rPr>
                <w:rFonts w:ascii="Calibri" w:hAnsi="Calibri"/>
                <w:b w:val="0"/>
                <w:color w:val="0B2545"/>
                <w:sz w:val="17"/>
              </w:rPr>
              <w:t>search_approved_knowledge</w:t>
            </w:r>
          </w:p>
        </w:tc>
        <w:tc>
          <w:tcPr>
            <w:tcW w:type="dxa" w:w="2232"/>
            <w:vAlign w:val="center"/>
            <w:shd w:fill="F4F6F9"/>
          </w:tcPr>
          <w:p>
            <w:pPr>
              <w:spacing w:after="40"/>
            </w:pPr>
            <w:r/>
            <w:r>
              <w:rPr>
                <w:rFonts w:ascii="Calibri" w:hAnsi="Calibri"/>
                <w:b w:val="0"/>
                <w:color w:val="0B2545"/>
                <w:sz w:val="17"/>
              </w:rPr>
              <w:t>Bot KB miss / manual test</w:t>
            </w:r>
          </w:p>
        </w:tc>
        <w:tc>
          <w:tcPr>
            <w:tcW w:type="dxa" w:w="3096"/>
            <w:vAlign w:val="center"/>
            <w:shd w:fill="F4F6F9"/>
          </w:tcPr>
          <w:p>
            <w:pPr>
              <w:spacing w:after="40"/>
            </w:pPr>
            <w:r/>
            <w:r>
              <w:rPr>
                <w:rFonts w:ascii="Calibri" w:hAnsi="Calibri"/>
                <w:b w:val="0"/>
                <w:color w:val="0B2545"/>
                <w:sz w:val="17"/>
              </w:rPr>
              <w:t>Searches active current-version agent knowledge</w:t>
            </w:r>
          </w:p>
        </w:tc>
        <w:tc>
          <w:tcPr>
            <w:tcW w:type="dxa" w:w="1800"/>
            <w:vAlign w:val="center"/>
            <w:shd w:fill="F4F6F9"/>
          </w:tcPr>
          <w:p>
            <w:pPr>
              <w:spacing w:after="40"/>
            </w:pPr>
            <w:r/>
            <w:r>
              <w:rPr>
                <w:rFonts w:ascii="Calibri" w:hAnsi="Calibri"/>
                <w:b w:val="0"/>
                <w:color w:val="0B2545"/>
                <w:sz w:val="17"/>
              </w:rPr>
              <w:t>Pinecone + SQL status gate</w:t>
            </w:r>
          </w:p>
        </w:tc>
      </w:tr>
      <w:tr>
        <w:tc>
          <w:tcPr>
            <w:tcW w:type="dxa" w:w="2232"/>
            <w:vAlign w:val="center"/>
          </w:tcPr>
          <w:p>
            <w:pPr>
              <w:spacing w:after="40"/>
            </w:pPr>
            <w:r/>
            <w:r>
              <w:rPr>
                <w:rFonts w:ascii="Calibri" w:hAnsi="Calibri"/>
                <w:b w:val="0"/>
                <w:color w:val="0B2545"/>
                <w:sz w:val="17"/>
              </w:rPr>
              <w:t>resolve_support_answer</w:t>
            </w:r>
          </w:p>
        </w:tc>
        <w:tc>
          <w:tcPr>
            <w:tcW w:type="dxa" w:w="2232"/>
            <w:vAlign w:val="center"/>
          </w:tcPr>
          <w:p>
            <w:pPr>
              <w:spacing w:after="40"/>
            </w:pPr>
            <w:r/>
            <w:r>
              <w:rPr>
                <w:rFonts w:ascii="Calibri" w:hAnsi="Calibri"/>
                <w:b w:val="0"/>
                <w:color w:val="0B2545"/>
                <w:sz w:val="17"/>
              </w:rPr>
              <w:t>General support question</w:t>
            </w:r>
          </w:p>
        </w:tc>
        <w:tc>
          <w:tcPr>
            <w:tcW w:type="dxa" w:w="3096"/>
            <w:vAlign w:val="center"/>
          </w:tcPr>
          <w:p>
            <w:pPr>
              <w:spacing w:after="40"/>
            </w:pPr>
            <w:r/>
            <w:r>
              <w:rPr>
                <w:rFonts w:ascii="Calibri" w:hAnsi="Calibri"/>
                <w:b w:val="0"/>
                <w:color w:val="0B2545"/>
                <w:sz w:val="17"/>
              </w:rPr>
              <w:t>Bot KB → approved agent knowledge → apology</w:t>
            </w:r>
          </w:p>
        </w:tc>
        <w:tc>
          <w:tcPr>
            <w:tcW w:type="dxa" w:w="1800"/>
            <w:vAlign w:val="center"/>
          </w:tcPr>
          <w:p>
            <w:pPr>
              <w:spacing w:after="40"/>
            </w:pPr>
            <w:r/>
            <w:r>
              <w:rPr>
                <w:rFonts w:ascii="Calibri" w:hAnsi="Calibri"/>
                <w:b w:val="0"/>
                <w:color w:val="0B2545"/>
                <w:sz w:val="17"/>
              </w:rPr>
              <w:t>Knowledge orchestrator</w:t>
            </w:r>
          </w:p>
        </w:tc>
      </w:tr>
      <w:tr>
        <w:tc>
          <w:tcPr>
            <w:tcW w:type="dxa" w:w="2232"/>
            <w:vAlign w:val="center"/>
            <w:shd w:fill="F4F6F9"/>
          </w:tcPr>
          <w:p>
            <w:pPr>
              <w:spacing w:after="40"/>
            </w:pPr>
            <w:r/>
            <w:r>
              <w:rPr>
                <w:rFonts w:ascii="Calibri" w:hAnsi="Calibri"/>
                <w:b w:val="0"/>
                <w:color w:val="0B2545"/>
                <w:sz w:val="17"/>
              </w:rPr>
              <w:t>get_missing_knowledge_topics</w:t>
            </w:r>
          </w:p>
        </w:tc>
        <w:tc>
          <w:tcPr>
            <w:tcW w:type="dxa" w:w="2232"/>
            <w:vAlign w:val="center"/>
            <w:shd w:fill="F4F6F9"/>
          </w:tcPr>
          <w:p>
            <w:pPr>
              <w:spacing w:after="40"/>
            </w:pPr>
            <w:r/>
            <w:r>
              <w:rPr>
                <w:rFonts w:ascii="Calibri" w:hAnsi="Calibri"/>
                <w:b w:val="0"/>
                <w:color w:val="0B2545"/>
                <w:sz w:val="17"/>
              </w:rPr>
              <w:t>Dashboard/report request</w:t>
            </w:r>
          </w:p>
        </w:tc>
        <w:tc>
          <w:tcPr>
            <w:tcW w:type="dxa" w:w="3096"/>
            <w:vAlign w:val="center"/>
            <w:shd w:fill="F4F6F9"/>
          </w:tcPr>
          <w:p>
            <w:pPr>
              <w:spacing w:after="40"/>
            </w:pPr>
            <w:r/>
            <w:r>
              <w:rPr>
                <w:rFonts w:ascii="Calibri" w:hAnsi="Calibri"/>
                <w:b w:val="0"/>
                <w:color w:val="0B2545"/>
                <w:sz w:val="17"/>
              </w:rPr>
              <w:t>Aggregates unanswered topics without an LLM call</w:t>
            </w:r>
          </w:p>
        </w:tc>
        <w:tc>
          <w:tcPr>
            <w:tcW w:type="dxa" w:w="1800"/>
            <w:vAlign w:val="center"/>
            <w:shd w:fill="F4F6F9"/>
          </w:tcPr>
          <w:p>
            <w:pPr>
              <w:spacing w:after="40"/>
            </w:pPr>
            <w:r/>
            <w:r>
              <w:rPr>
                <w:rFonts w:ascii="Calibri" w:hAnsi="Calibri"/>
                <w:b w:val="0"/>
                <w:color w:val="0B2545"/>
                <w:sz w:val="17"/>
              </w:rPr>
              <w:t>SQL aggregation</w:t>
            </w:r>
          </w:p>
        </w:tc>
      </w:tr>
      <w:tr>
        <w:tc>
          <w:tcPr>
            <w:tcW w:type="dxa" w:w="2232"/>
            <w:vAlign w:val="center"/>
          </w:tcPr>
          <w:p>
            <w:pPr>
              <w:spacing w:after="40"/>
            </w:pPr>
            <w:r/>
            <w:r>
              <w:rPr>
                <w:rFonts w:ascii="Calibri" w:hAnsi="Calibri"/>
                <w:b w:val="0"/>
                <w:color w:val="0B2545"/>
                <w:sz w:val="17"/>
              </w:rPr>
              <w:t>import_agent_history_from_json</w:t>
            </w:r>
          </w:p>
        </w:tc>
        <w:tc>
          <w:tcPr>
            <w:tcW w:type="dxa" w:w="2232"/>
            <w:vAlign w:val="center"/>
          </w:tcPr>
          <w:p>
            <w:pPr>
              <w:spacing w:after="40"/>
            </w:pPr>
            <w:r/>
            <w:r>
              <w:rPr>
                <w:rFonts w:ascii="Calibri" w:hAnsi="Calibri"/>
                <w:b w:val="0"/>
                <w:color w:val="0B2545"/>
                <w:sz w:val="17"/>
              </w:rPr>
              <w:t>Explicit admin backfill</w:t>
            </w:r>
          </w:p>
        </w:tc>
        <w:tc>
          <w:tcPr>
            <w:tcW w:type="dxa" w:w="3096"/>
            <w:vAlign w:val="center"/>
          </w:tcPr>
          <w:p>
            <w:pPr>
              <w:spacing w:after="40"/>
            </w:pPr>
            <w:r/>
            <w:r>
              <w:rPr>
                <w:rFonts w:ascii="Calibri" w:hAnsi="Calibri"/>
                <w:b w:val="0"/>
                <w:color w:val="0B2545"/>
                <w:sz w:val="17"/>
              </w:rPr>
              <w:t>Starts controlled historical ingestion</w:t>
            </w:r>
          </w:p>
        </w:tc>
        <w:tc>
          <w:tcPr>
            <w:tcW w:type="dxa" w:w="1800"/>
            <w:vAlign w:val="center"/>
          </w:tcPr>
          <w:p>
            <w:pPr>
              <w:spacing w:after="40"/>
            </w:pPr>
            <w:r/>
            <w:r>
              <w:rPr>
                <w:rFonts w:ascii="Calibri" w:hAnsi="Calibri"/>
                <w:b w:val="0"/>
                <w:color w:val="0B2545"/>
                <w:sz w:val="17"/>
              </w:rPr>
              <w:t>Background importer</w:t>
            </w:r>
          </w:p>
        </w:tc>
      </w:tr>
    </w:tbl>
    <w:p>
      <w:pPr>
        <w:spacing w:after="40"/>
      </w:pPr>
    </w:p>
    <w:p>
      <w:pPr>
        <w:pStyle w:val="Heading1"/>
      </w:pPr>
      <w:r>
        <w:t>5. Detailed Tool Behavior</w:t>
      </w:r>
    </w:p>
    <w:p>
      <w:pPr>
        <w:pStyle w:val="Heading2"/>
      </w:pPr>
      <w:r>
        <w:t>save_customer_memory</w:t>
      </w:r>
    </w:p>
    <w:p>
      <w:r>
        <w:t>Inputs: organization, session, mobile, role, text, optional timestamp. The service normalizes identity, writes through Mem0/Pinecone, records a structured event, and refreshes the customer profile. Failure is surfaced without exposing provider keys.</w:t>
      </w:r>
    </w:p>
    <w:p>
      <w:pPr>
        <w:pStyle w:val="Heading2"/>
      </w:pPr>
      <w:r>
        <w:t>search_customer_memory</w:t>
      </w:r>
    </w:p>
    <w:p>
      <w:r>
        <w:t>Runs only when the query explicitly refers to personal history. It searches across sessions, not only the current session. Results are combined with tenant/customer-scoped session summaries so incomplete vector backfills cannot break recall. The server decides answer eligibility.</w:t>
      </w:r>
    </w:p>
    <w:p>
      <w:pPr>
        <w:pStyle w:val="Heading2"/>
      </w:pPr>
      <w:r>
        <w:t>get_customer_memory_context</w:t>
      </w:r>
    </w:p>
    <w:p>
      <w:r>
        <w:t>Loads a compact starting context for orchestration: memory count, previous-session count, current issue and recent summaries. It avoids sending the entire transcript to an LLM.</w:t>
      </w:r>
    </w:p>
    <w:p>
      <w:pPr>
        <w:pStyle w:val="Heading2"/>
      </w:pPr>
      <w:r>
        <w:t>get_contextual_welcome</w:t>
      </w:r>
    </w:p>
    <w:p>
      <w:r>
        <w:t>Uses the latest meaningful issue to ask whether it was resolved. When no history exists, it returns a neutral greeting. Tone rewriting has a short timeout and cannot alter facts.</w:t>
      </w:r>
    </w:p>
    <w:p>
      <w:pPr>
        <w:pStyle w:val="Heading2"/>
      </w:pPr>
      <w:r>
        <w:t>get_handoff_context</w:t>
      </w:r>
    </w:p>
    <w:p>
      <w:r>
        <w:t>Uses a precomputed profile for speed. The top of the inbox shows concise session summaries and counts; the full transcript loads only when the agent expands a session.</w:t>
      </w:r>
    </w:p>
    <w:p>
      <w:pPr>
        <w:pStyle w:val="Heading2"/>
      </w:pPr>
      <w:r>
        <w:t>get_organization_tone_profile</w:t>
      </w:r>
    </w:p>
    <w:p>
      <w:r>
        <w:t>Learns reply-length, politeness and language-style signals. It explicitly marks facts_learned=false, keeping voice separate from knowledge.</w:t>
      </w:r>
    </w:p>
    <w:p>
      <w:pPr>
        <w:pStyle w:val="Heading2"/>
      </w:pPr>
      <w:r>
        <w:t>get_knowledge_curation_policy</w:t>
      </w:r>
    </w:p>
    <w:p>
      <w:r>
        <w:t>Defines what can become reusable organizational knowledge. Controlled prices and regulations require scope, conditions and effective/version context.</w:t>
      </w:r>
    </w:p>
    <w:p>
      <w:pPr>
        <w:pStyle w:val="Heading2"/>
      </w:pPr>
      <w:r>
        <w:t>search_approved_knowledge</w:t>
      </w:r>
    </w:p>
    <w:p>
      <w:r>
        <w:t>Pinecone supplies semantic candidates, but SQL verifies organization, active status and exact current article version. Disabled, deleted or superseded vectors are rejected.</w:t>
      </w:r>
    </w:p>
    <w:p>
      <w:pPr>
        <w:pStyle w:val="Heading2"/>
      </w:pPr>
      <w:r>
        <w:t>resolve_support_answer</w:t>
      </w:r>
    </w:p>
    <w:p>
      <w:r>
        <w:t>Search order is bot knowledge first, approved agent knowledge second, safe apology third. A total miss creates a knowledge-gap event for analytics.</w:t>
      </w:r>
    </w:p>
    <w:p>
      <w:pPr>
        <w:pStyle w:val="Heading2"/>
      </w:pPr>
      <w:r>
        <w:t>get_missing_knowledge_topics</w:t>
      </w:r>
    </w:p>
    <w:p>
      <w:r>
        <w:t>Groups questions that neither knowledge source could answer. Counts are deterministic database results; an LLM is not required for authoritative totals.</w:t>
      </w:r>
    </w:p>
    <w:p>
      <w:pPr>
        <w:pStyle w:val="Heading2"/>
      </w:pPr>
      <w:r>
        <w:t>import_agent_history_from_json</w:t>
      </w:r>
    </w:p>
    <w:p>
      <w:r>
        <w:t>Administrative backfill for historical transcripts. It is not called during normal chat. Production should move this work to a queue with job IDs, idempotency and dead-letter handling.</w:t>
      </w:r>
    </w:p>
    <w:p>
      <w:r>
        <w:br w:type="page"/>
      </w:r>
    </w:p>
    <w:p>
      <w:pPr>
        <w:pStyle w:val="Heading1"/>
      </w:pPr>
      <w:r>
        <w:t>6. Main End-to-End Workflows</w:t>
      </w:r>
    </w:p>
    <w:p>
      <w:pPr>
        <w:pStyle w:val="Heading2"/>
      </w:pPr>
      <w:r>
        <w:t>6.1 Live chat and RAG decision</w:t>
      </w:r>
    </w:p>
    <w:p>
      <w:pPr>
        <w:pStyle w:val="ListNumber"/>
        <w:numPr>
          <w:ilvl w:val="0"/>
          <w:numId w:val="11"/>
        </w:numPr>
        <w:spacing w:after="80"/>
      </w:pPr>
      <w:r>
        <w:t>Customer asks a question.</w:t>
      </w:r>
    </w:p>
    <w:p>
      <w:pPr>
        <w:pStyle w:val="ListNumber"/>
        <w:numPr>
          <w:ilvl w:val="0"/>
          <w:numId w:val="11"/>
        </w:numPr>
        <w:spacing w:after="80"/>
      </w:pPr>
      <w:r>
        <w:t>If it explicitly references personal history, search that customer’s Mem0/Pinecone memories across sessions.</w:t>
      </w:r>
    </w:p>
    <w:p>
      <w:pPr>
        <w:pStyle w:val="ListNumber"/>
        <w:numPr>
          <w:ilvl w:val="0"/>
          <w:numId w:val="11"/>
        </w:numPr>
        <w:spacing w:after="80"/>
      </w:pPr>
      <w:r>
        <w:t>Otherwise search the organization’s bot knowledge base.</w:t>
      </w:r>
    </w:p>
    <w:p>
      <w:pPr>
        <w:pStyle w:val="ListNumber"/>
        <w:numPr>
          <w:ilvl w:val="0"/>
          <w:numId w:val="11"/>
        </w:numPr>
        <w:spacing w:after="80"/>
      </w:pPr>
      <w:r>
        <w:t>If bot knowledge misses, search active approved human-agent knowledge.</w:t>
      </w:r>
    </w:p>
    <w:p>
      <w:pPr>
        <w:pStyle w:val="ListNumber"/>
        <w:numPr>
          <w:ilvl w:val="0"/>
          <w:numId w:val="11"/>
        </w:numPr>
        <w:spacing w:after="80"/>
      </w:pPr>
      <w:r>
        <w:t>If both miss, apologize safely and record the missing topic.</w:t>
      </w:r>
    </w:p>
    <w:p>
      <w:pPr>
        <w:pStyle w:val="ListNumber"/>
        <w:numPr>
          <w:ilvl w:val="0"/>
          <w:numId w:val="11"/>
        </w:numPr>
        <w:spacing w:after="80"/>
      </w:pPr>
      <w:r>
        <w:t>Apply organization tone to the grounded answer and store both messages.</w:t>
      </w:r>
    </w:p>
    <w:tbl>
      <w:tblPr>
        <w:tblW w:type="auto" w:w="0"/>
        <w:tblLayout w:type="fixed"/>
        <w:tblLook w:firstColumn="1" w:firstRow="1" w:lastColumn="0" w:lastRow="0" w:noHBand="0" w:noVBand="1" w:val="04A0"/>
      </w:tblPr>
      <w:tblGrid>
        <w:gridCol w:w="9360"/>
      </w:tblGrid>
      <w:tr>
        <w:tc>
          <w:tcPr>
            <w:tcW w:type="dxa" w:w="9360"/>
            <w:shd w:fill="EEF4FF"/>
          </w:tcPr>
          <w:p>
            <w:pPr>
              <w:spacing w:after="60"/>
            </w:pPr>
            <w:r>
              <w:rPr>
                <w:b/>
                <w:color w:val="2563EB"/>
              </w:rPr>
              <w:t xml:space="preserve">Important relevance rule  </w:t>
            </w:r>
            <w:r>
              <w:t>A question such as “Is weekend installation available?” is a general policy question and must not be answered from unrelated personal memories. A question such as “What internet problem did I report previously?” is routed to personal memory.</w:t>
            </w:r>
          </w:p>
        </w:tc>
      </w:tr>
    </w:tbl>
    <w:p>
      <w:pPr>
        <w:pStyle w:val="Heading2"/>
      </w:pPr>
      <w:r>
        <w:t>6.2 Human-agent handoff</w:t>
      </w:r>
    </w:p>
    <w:p>
      <w:pPr>
        <w:pStyle w:val="ListNumber"/>
        <w:numPr>
          <w:ilvl w:val="0"/>
          <w:numId w:val="12"/>
        </w:numPr>
        <w:spacing w:after="80"/>
      </w:pPr>
      <w:r>
        <w:t>Agent clicks Escalate to human.</w:t>
      </w:r>
    </w:p>
    <w:p>
      <w:pPr>
        <w:pStyle w:val="ListNumber"/>
        <w:numPr>
          <w:ilvl w:val="0"/>
          <w:numId w:val="12"/>
        </w:numPr>
        <w:spacing w:after="80"/>
      </w:pPr>
      <w:r>
        <w:t>Flask loads the precomputed customer profile and latest session summaries.</w:t>
      </w:r>
    </w:p>
    <w:p>
      <w:pPr>
        <w:pStyle w:val="ListNumber"/>
        <w:numPr>
          <w:ilvl w:val="0"/>
          <w:numId w:val="12"/>
        </w:numPr>
        <w:spacing w:after="80"/>
      </w:pPr>
      <w:r>
        <w:t>The card displays concise history, session count and memory count.</w:t>
      </w:r>
    </w:p>
    <w:p>
      <w:pPr>
        <w:pStyle w:val="ListNumber"/>
        <w:numPr>
          <w:ilvl w:val="0"/>
          <w:numId w:val="12"/>
        </w:numPr>
        <w:spacing w:after="80"/>
      </w:pPr>
      <w:r>
        <w:t>Older sessions and full transcripts remain expandable, reducing initial reading time.</w:t>
      </w:r>
    </w:p>
    <w:p>
      <w:pPr>
        <w:pStyle w:val="Heading2"/>
      </w:pPr>
      <w:r>
        <w:t>6.3 Human-agent knowledge lifecycle</w:t>
      </w:r>
    </w:p>
    <w:p>
      <w:pPr>
        <w:pStyle w:val="ListNumber"/>
        <w:numPr>
          <w:ilvl w:val="0"/>
          <w:numId w:val="13"/>
        </w:numPr>
        <w:spacing w:after="80"/>
      </w:pPr>
      <w:r>
        <w:t>Human-agent transcript is stored under the organization.</w:t>
      </w:r>
    </w:p>
    <w:p>
      <w:pPr>
        <w:pStyle w:val="ListNumber"/>
        <w:numPr>
          <w:ilvl w:val="0"/>
          <w:numId w:val="13"/>
        </w:numPr>
        <w:spacing w:after="80"/>
      </w:pPr>
      <w:r>
        <w:t>When the chat closes, Groq proposes a standalone reusable question and answer.</w:t>
      </w:r>
    </w:p>
    <w:p>
      <w:pPr>
        <w:pStyle w:val="ListNumber"/>
        <w:numPr>
          <w:ilvl w:val="0"/>
          <w:numId w:val="13"/>
        </w:numPr>
        <w:spacing w:after="80"/>
      </w:pPr>
      <w:r>
        <w:t>A deterministic validator rejects filler, referrals, incomplete answers and customer-specific data.</w:t>
      </w:r>
    </w:p>
    <w:p>
      <w:pPr>
        <w:pStyle w:val="ListNumber"/>
        <w:numPr>
          <w:ilvl w:val="0"/>
          <w:numId w:val="13"/>
        </w:numPr>
        <w:spacing w:after="80"/>
      </w:pPr>
      <w:r>
        <w:t>Accepted content becomes an active versioned article and is indexed semantically.</w:t>
      </w:r>
    </w:p>
    <w:p>
      <w:pPr>
        <w:pStyle w:val="ListNumber"/>
        <w:numPr>
          <w:ilvl w:val="0"/>
          <w:numId w:val="13"/>
        </w:numPr>
        <w:spacing w:after="80"/>
      </w:pPr>
      <w:r>
        <w:t>Editing creates a newer version; disabling or deleting prevents retrieval immediately through the SQL status gate.</w:t>
      </w:r>
    </w:p>
    <w:p>
      <w:pPr>
        <w:pStyle w:val="Heading1"/>
      </w:pPr>
      <w:r>
        <w:t>7. Memory, Knowledge and Tone Boundaries</w:t>
      </w:r>
    </w:p>
    <w:tbl>
      <w:tblPr>
        <w:tblW w:type="auto" w:w="0"/>
        <w:jc w:val="center"/>
        <w:tblLayout w:type="fixed"/>
        <w:tblLook w:firstColumn="1" w:firstRow="1" w:lastColumn="0" w:lastRow="0" w:noHBand="0" w:noVBand="1" w:val="04A0"/>
      </w:tblPr>
      <w:tblGrid>
        <w:gridCol w:w="3120"/>
        <w:gridCol w:w="3120"/>
        <w:gridCol w:w="3120"/>
      </w:tblGrid>
      <w:tr>
        <w:tc>
          <w:tcPr>
            <w:tcW w:type="dxa" w:w="2232"/>
            <w:vAlign w:val="center"/>
            <w:shd w:fill="0B2545"/>
          </w:tcPr>
          <w:p>
            <w:pPr>
              <w:spacing w:after="40"/>
            </w:pPr>
            <w:r/>
            <w:r>
              <w:rPr>
                <w:rFonts w:ascii="Calibri" w:hAnsi="Calibri"/>
                <w:b/>
                <w:color w:val="FFFFFF"/>
                <w:sz w:val="17"/>
              </w:rPr>
              <w:t>Information type</w:t>
            </w:r>
          </w:p>
        </w:tc>
        <w:tc>
          <w:tcPr>
            <w:tcW w:type="dxa" w:w="2952"/>
            <w:vAlign w:val="center"/>
            <w:shd w:fill="0B2545"/>
          </w:tcPr>
          <w:p>
            <w:pPr>
              <w:spacing w:after="40"/>
            </w:pPr>
            <w:r/>
            <w:r>
              <w:rPr>
                <w:rFonts w:ascii="Calibri" w:hAnsi="Calibri"/>
                <w:b/>
                <w:color w:val="FFFFFF"/>
                <w:sz w:val="17"/>
              </w:rPr>
              <w:t>Correct home</w:t>
            </w:r>
          </w:p>
        </w:tc>
        <w:tc>
          <w:tcPr>
            <w:tcW w:type="dxa" w:w="4176"/>
            <w:vAlign w:val="center"/>
            <w:shd w:fill="0B2545"/>
          </w:tcPr>
          <w:p>
            <w:pPr>
              <w:spacing w:after="40"/>
            </w:pPr>
            <w:r/>
            <w:r>
              <w:rPr>
                <w:rFonts w:ascii="Calibri" w:hAnsi="Calibri"/>
                <w:b/>
                <w:color w:val="FFFFFF"/>
                <w:sz w:val="17"/>
              </w:rPr>
              <w:t>Example</w:t>
            </w:r>
          </w:p>
        </w:tc>
      </w:tr>
      <w:tr>
        <w:tc>
          <w:tcPr>
            <w:tcW w:type="dxa" w:w="2232"/>
            <w:vAlign w:val="center"/>
          </w:tcPr>
          <w:p>
            <w:pPr>
              <w:spacing w:after="40"/>
            </w:pPr>
            <w:r/>
            <w:r>
              <w:rPr>
                <w:rFonts w:ascii="Calibri" w:hAnsi="Calibri"/>
                <w:b w:val="0"/>
                <w:color w:val="0B2545"/>
                <w:sz w:val="17"/>
              </w:rPr>
              <w:t>Customer conversational memory</w:t>
            </w:r>
          </w:p>
        </w:tc>
        <w:tc>
          <w:tcPr>
            <w:tcW w:type="dxa" w:w="2952"/>
            <w:vAlign w:val="center"/>
          </w:tcPr>
          <w:p>
            <w:pPr>
              <w:spacing w:after="40"/>
            </w:pPr>
            <w:r/>
            <w:r>
              <w:rPr>
                <w:rFonts w:ascii="Calibri" w:hAnsi="Calibri"/>
                <w:b w:val="0"/>
                <w:color w:val="0B2545"/>
                <w:sz w:val="17"/>
              </w:rPr>
              <w:t>Mem0/Pinecone</w:t>
            </w:r>
          </w:p>
        </w:tc>
        <w:tc>
          <w:tcPr>
            <w:tcW w:type="dxa" w:w="4176"/>
            <w:vAlign w:val="center"/>
          </w:tcPr>
          <w:p>
            <w:pPr>
              <w:spacing w:after="40"/>
            </w:pPr>
            <w:r/>
            <w:r>
              <w:rPr>
                <w:rFonts w:ascii="Calibri" w:hAnsi="Calibri"/>
                <w:b w:val="0"/>
                <w:color w:val="0B2545"/>
                <w:sz w:val="17"/>
              </w:rPr>
              <w:t>Previously discussed doctor, issue or preference</w:t>
            </w:r>
          </w:p>
        </w:tc>
      </w:tr>
      <w:tr>
        <w:tc>
          <w:tcPr>
            <w:tcW w:type="dxa" w:w="2232"/>
            <w:vAlign w:val="center"/>
            <w:shd w:fill="F4F6F9"/>
          </w:tcPr>
          <w:p>
            <w:pPr>
              <w:spacing w:after="40"/>
            </w:pPr>
            <w:r/>
            <w:r>
              <w:rPr>
                <w:rFonts w:ascii="Calibri" w:hAnsi="Calibri"/>
                <w:b w:val="0"/>
                <w:color w:val="0B2545"/>
                <w:sz w:val="17"/>
              </w:rPr>
              <w:t>Reusable organization fact</w:t>
            </w:r>
          </w:p>
        </w:tc>
        <w:tc>
          <w:tcPr>
            <w:tcW w:type="dxa" w:w="2952"/>
            <w:vAlign w:val="center"/>
            <w:shd w:fill="F4F6F9"/>
          </w:tcPr>
          <w:p>
            <w:pPr>
              <w:spacing w:after="40"/>
            </w:pPr>
            <w:r/>
            <w:r>
              <w:rPr>
                <w:rFonts w:ascii="Calibri" w:hAnsi="Calibri"/>
                <w:b w:val="0"/>
                <w:color w:val="0B2545"/>
                <w:sz w:val="17"/>
              </w:rPr>
              <w:t>Versioned knowledge + Pinecone index</w:t>
            </w:r>
          </w:p>
        </w:tc>
        <w:tc>
          <w:tcPr>
            <w:tcW w:type="dxa" w:w="4176"/>
            <w:vAlign w:val="center"/>
            <w:shd w:fill="F4F6F9"/>
          </w:tcPr>
          <w:p>
            <w:pPr>
              <w:spacing w:after="40"/>
            </w:pPr>
            <w:r/>
            <w:r>
              <w:rPr>
                <w:rFonts w:ascii="Calibri" w:hAnsi="Calibri"/>
                <w:b w:val="0"/>
                <w:color w:val="0B2545"/>
                <w:sz w:val="17"/>
              </w:rPr>
              <w:t>Complete installation policy or current price</w:t>
            </w:r>
          </w:p>
        </w:tc>
      </w:tr>
      <w:tr>
        <w:tc>
          <w:tcPr>
            <w:tcW w:type="dxa" w:w="2232"/>
            <w:vAlign w:val="center"/>
          </w:tcPr>
          <w:p>
            <w:pPr>
              <w:spacing w:after="40"/>
            </w:pPr>
            <w:r/>
            <w:r>
              <w:rPr>
                <w:rFonts w:ascii="Calibri" w:hAnsi="Calibri"/>
                <w:b w:val="0"/>
                <w:color w:val="0B2545"/>
                <w:sz w:val="17"/>
              </w:rPr>
              <w:t>Authoritative lifecycle state</w:t>
            </w:r>
          </w:p>
        </w:tc>
        <w:tc>
          <w:tcPr>
            <w:tcW w:type="dxa" w:w="2952"/>
            <w:vAlign w:val="center"/>
          </w:tcPr>
          <w:p>
            <w:pPr>
              <w:spacing w:after="40"/>
            </w:pPr>
            <w:r/>
            <w:r>
              <w:rPr>
                <w:rFonts w:ascii="Calibri" w:hAnsi="Calibri"/>
                <w:b w:val="0"/>
                <w:color w:val="0B2545"/>
                <w:sz w:val="17"/>
              </w:rPr>
              <w:t>SQL</w:t>
            </w:r>
          </w:p>
        </w:tc>
        <w:tc>
          <w:tcPr>
            <w:tcW w:type="dxa" w:w="4176"/>
            <w:vAlign w:val="center"/>
          </w:tcPr>
          <w:p>
            <w:pPr>
              <w:spacing w:after="40"/>
            </w:pPr>
            <w:r/>
            <w:r>
              <w:rPr>
                <w:rFonts w:ascii="Calibri" w:hAnsi="Calibri"/>
                <w:b w:val="0"/>
                <w:color w:val="0B2545"/>
                <w:sz w:val="17"/>
              </w:rPr>
              <w:t>Article active version, deletion and audit trail</w:t>
            </w:r>
          </w:p>
        </w:tc>
      </w:tr>
      <w:tr>
        <w:tc>
          <w:tcPr>
            <w:tcW w:type="dxa" w:w="2232"/>
            <w:vAlign w:val="center"/>
            <w:shd w:fill="F4F6F9"/>
          </w:tcPr>
          <w:p>
            <w:pPr>
              <w:spacing w:after="40"/>
            </w:pPr>
            <w:r/>
            <w:r>
              <w:rPr>
                <w:rFonts w:ascii="Calibri" w:hAnsi="Calibri"/>
                <w:b w:val="0"/>
                <w:color w:val="0B2545"/>
                <w:sz w:val="17"/>
              </w:rPr>
              <w:t>Analytics event</w:t>
            </w:r>
          </w:p>
        </w:tc>
        <w:tc>
          <w:tcPr>
            <w:tcW w:type="dxa" w:w="2952"/>
            <w:vAlign w:val="center"/>
            <w:shd w:fill="F4F6F9"/>
          </w:tcPr>
          <w:p>
            <w:pPr>
              <w:spacing w:after="40"/>
            </w:pPr>
            <w:r/>
            <w:r>
              <w:rPr>
                <w:rFonts w:ascii="Calibri" w:hAnsi="Calibri"/>
                <w:b w:val="0"/>
                <w:color w:val="0B2545"/>
                <w:sz w:val="17"/>
              </w:rPr>
              <w:t>SQL / warehouse</w:t>
            </w:r>
          </w:p>
        </w:tc>
        <w:tc>
          <w:tcPr>
            <w:tcW w:type="dxa" w:w="4176"/>
            <w:vAlign w:val="center"/>
            <w:shd w:fill="F4F6F9"/>
          </w:tcPr>
          <w:p>
            <w:pPr>
              <w:spacing w:after="40"/>
            </w:pPr>
            <w:r/>
            <w:r>
              <w:rPr>
                <w:rFonts w:ascii="Calibri" w:hAnsi="Calibri"/>
                <w:b w:val="0"/>
                <w:color w:val="0B2545"/>
                <w:sz w:val="17"/>
              </w:rPr>
              <w:t>Category, sentiment, resolution or gap</w:t>
            </w:r>
          </w:p>
        </w:tc>
      </w:tr>
      <w:tr>
        <w:tc>
          <w:tcPr>
            <w:tcW w:type="dxa" w:w="2232"/>
            <w:vAlign w:val="center"/>
          </w:tcPr>
          <w:p>
            <w:pPr>
              <w:spacing w:after="40"/>
            </w:pPr>
            <w:r/>
            <w:r>
              <w:rPr>
                <w:rFonts w:ascii="Calibri" w:hAnsi="Calibri"/>
                <w:b w:val="0"/>
                <w:color w:val="0B2545"/>
                <w:sz w:val="17"/>
              </w:rPr>
              <w:t>Writing style</w:t>
            </w:r>
          </w:p>
        </w:tc>
        <w:tc>
          <w:tcPr>
            <w:tcW w:type="dxa" w:w="2952"/>
            <w:vAlign w:val="center"/>
          </w:tcPr>
          <w:p>
            <w:pPr>
              <w:spacing w:after="40"/>
            </w:pPr>
            <w:r/>
            <w:r>
              <w:rPr>
                <w:rFonts w:ascii="Calibri" w:hAnsi="Calibri"/>
                <w:b w:val="0"/>
                <w:color w:val="0B2545"/>
                <w:sz w:val="17"/>
              </w:rPr>
              <w:t>Tone profile</w:t>
            </w:r>
          </w:p>
        </w:tc>
        <w:tc>
          <w:tcPr>
            <w:tcW w:type="dxa" w:w="4176"/>
            <w:vAlign w:val="center"/>
          </w:tcPr>
          <w:p>
            <w:pPr>
              <w:spacing w:after="40"/>
            </w:pPr>
            <w:r/>
            <w:r>
              <w:rPr>
                <w:rFonts w:ascii="Calibri" w:hAnsi="Calibri"/>
                <w:b w:val="0"/>
                <w:color w:val="0B2545"/>
                <w:sz w:val="17"/>
              </w:rPr>
              <w:t>Concise, polite, Roman Urdu usage</w:t>
            </w:r>
          </w:p>
        </w:tc>
      </w:tr>
    </w:tbl>
    <w:p>
      <w:pPr>
        <w:spacing w:after="40"/>
      </w:pPr>
    </w:p>
    <w:p>
      <w:r>
        <w:br w:type="page"/>
      </w:r>
    </w:p>
    <w:p>
      <w:pPr>
        <w:pStyle w:val="Heading1"/>
      </w:pPr>
      <w:r>
        <w:t>8. Data Model and Indexing</w:t>
      </w:r>
    </w:p>
    <w:tbl>
      <w:tblPr>
        <w:tblW w:type="auto" w:w="0"/>
        <w:jc w:val="center"/>
        <w:tblLayout w:type="fixed"/>
        <w:tblLook w:firstColumn="1" w:firstRow="1" w:lastColumn="0" w:lastRow="0" w:noHBand="0" w:noVBand="1" w:val="04A0"/>
      </w:tblPr>
      <w:tblGrid>
        <w:gridCol w:w="3120"/>
        <w:gridCol w:w="3120"/>
        <w:gridCol w:w="3120"/>
      </w:tblGrid>
      <w:tr>
        <w:tc>
          <w:tcPr>
            <w:tcW w:type="dxa" w:w="2088"/>
            <w:vAlign w:val="center"/>
            <w:shd w:fill="0B2545"/>
          </w:tcPr>
          <w:p>
            <w:pPr>
              <w:spacing w:after="40"/>
            </w:pPr>
            <w:r/>
            <w:r>
              <w:rPr>
                <w:rFonts w:ascii="Calibri" w:hAnsi="Calibri"/>
                <w:b/>
                <w:color w:val="FFFFFF"/>
                <w:sz w:val="17"/>
              </w:rPr>
              <w:t>Table group</w:t>
            </w:r>
          </w:p>
        </w:tc>
        <w:tc>
          <w:tcPr>
            <w:tcW w:type="dxa" w:w="4104"/>
            <w:vAlign w:val="center"/>
            <w:shd w:fill="0B2545"/>
          </w:tcPr>
          <w:p>
            <w:pPr>
              <w:spacing w:after="40"/>
            </w:pPr>
            <w:r/>
            <w:r>
              <w:rPr>
                <w:rFonts w:ascii="Calibri" w:hAnsi="Calibri"/>
                <w:b/>
                <w:color w:val="FFFFFF"/>
                <w:sz w:val="17"/>
              </w:rPr>
              <w:t>Tables</w:t>
            </w:r>
          </w:p>
        </w:tc>
        <w:tc>
          <w:tcPr>
            <w:tcW w:type="dxa" w:w="3168"/>
            <w:vAlign w:val="center"/>
            <w:shd w:fill="0B2545"/>
          </w:tcPr>
          <w:p>
            <w:pPr>
              <w:spacing w:after="40"/>
            </w:pPr>
            <w:r/>
            <w:r>
              <w:rPr>
                <w:rFonts w:ascii="Calibri" w:hAnsi="Calibri"/>
                <w:b/>
                <w:color w:val="FFFFFF"/>
                <w:sz w:val="17"/>
              </w:rPr>
              <w:t>Purpose</w:t>
            </w:r>
          </w:p>
        </w:tc>
      </w:tr>
      <w:tr>
        <w:tc>
          <w:tcPr>
            <w:tcW w:type="dxa" w:w="2088"/>
            <w:vAlign w:val="center"/>
          </w:tcPr>
          <w:p>
            <w:pPr>
              <w:spacing w:after="40"/>
            </w:pPr>
            <w:r/>
            <w:r>
              <w:rPr>
                <w:rFonts w:ascii="Calibri" w:hAnsi="Calibri"/>
                <w:b w:val="0"/>
                <w:color w:val="0B2545"/>
                <w:sz w:val="17"/>
              </w:rPr>
              <w:t>Organizations and memory</w:t>
            </w:r>
          </w:p>
        </w:tc>
        <w:tc>
          <w:tcPr>
            <w:tcW w:type="dxa" w:w="4104"/>
            <w:vAlign w:val="center"/>
          </w:tcPr>
          <w:p>
            <w:pPr>
              <w:spacing w:after="40"/>
            </w:pPr>
            <w:r/>
            <w:r>
              <w:rPr>
                <w:rFonts w:ascii="Calibri" w:hAnsi="Calibri"/>
                <w:b w:val="0"/>
                <w:color w:val="0B2545"/>
                <w:sz w:val="17"/>
              </w:rPr>
              <w:t>organizations, memory_events</w:t>
            </w:r>
          </w:p>
        </w:tc>
        <w:tc>
          <w:tcPr>
            <w:tcW w:type="dxa" w:w="3168"/>
            <w:vAlign w:val="center"/>
          </w:tcPr>
          <w:p>
            <w:pPr>
              <w:spacing w:after="40"/>
            </w:pPr>
            <w:r/>
            <w:r>
              <w:rPr>
                <w:rFonts w:ascii="Calibri" w:hAnsi="Calibri"/>
                <w:b w:val="0"/>
                <w:color w:val="0B2545"/>
                <w:sz w:val="17"/>
              </w:rPr>
              <w:t>Tenant metadata and normalized conversation events</w:t>
            </w:r>
          </w:p>
        </w:tc>
      </w:tr>
      <w:tr>
        <w:tc>
          <w:tcPr>
            <w:tcW w:type="dxa" w:w="2088"/>
            <w:vAlign w:val="center"/>
            <w:shd w:fill="F4F6F9"/>
          </w:tcPr>
          <w:p>
            <w:pPr>
              <w:spacing w:after="40"/>
            </w:pPr>
            <w:r/>
            <w:r>
              <w:rPr>
                <w:rFonts w:ascii="Calibri" w:hAnsi="Calibri"/>
                <w:b w:val="0"/>
                <w:color w:val="0B2545"/>
                <w:sz w:val="17"/>
              </w:rPr>
              <w:t>Customer acceleration</w:t>
            </w:r>
          </w:p>
        </w:tc>
        <w:tc>
          <w:tcPr>
            <w:tcW w:type="dxa" w:w="4104"/>
            <w:vAlign w:val="center"/>
            <w:shd w:fill="F4F6F9"/>
          </w:tcPr>
          <w:p>
            <w:pPr>
              <w:spacing w:after="40"/>
            </w:pPr>
            <w:r/>
            <w:r>
              <w:rPr>
                <w:rFonts w:ascii="Calibri" w:hAnsi="Calibri"/>
                <w:b w:val="0"/>
                <w:color w:val="0B2545"/>
                <w:sz w:val="17"/>
              </w:rPr>
              <w:t>customer_profiles, session_summaries, durable_facts</w:t>
            </w:r>
          </w:p>
        </w:tc>
        <w:tc>
          <w:tcPr>
            <w:tcW w:type="dxa" w:w="3168"/>
            <w:vAlign w:val="center"/>
            <w:shd w:fill="F4F6F9"/>
          </w:tcPr>
          <w:p>
            <w:pPr>
              <w:spacing w:after="40"/>
            </w:pPr>
            <w:r/>
            <w:r>
              <w:rPr>
                <w:rFonts w:ascii="Calibri" w:hAnsi="Calibri"/>
                <w:b w:val="0"/>
                <w:color w:val="0B2545"/>
                <w:sz w:val="17"/>
              </w:rPr>
              <w:t>Fast handoff, welcome and recent-context access</w:t>
            </w:r>
          </w:p>
        </w:tc>
      </w:tr>
      <w:tr>
        <w:tc>
          <w:tcPr>
            <w:tcW w:type="dxa" w:w="2088"/>
            <w:vAlign w:val="center"/>
          </w:tcPr>
          <w:p>
            <w:pPr>
              <w:spacing w:after="40"/>
            </w:pPr>
            <w:r/>
            <w:r>
              <w:rPr>
                <w:rFonts w:ascii="Calibri" w:hAnsi="Calibri"/>
                <w:b w:val="0"/>
                <w:color w:val="0B2545"/>
                <w:sz w:val="17"/>
              </w:rPr>
              <w:t>Gap analytics</w:t>
            </w:r>
          </w:p>
        </w:tc>
        <w:tc>
          <w:tcPr>
            <w:tcW w:type="dxa" w:w="4104"/>
            <w:vAlign w:val="center"/>
          </w:tcPr>
          <w:p>
            <w:pPr>
              <w:spacing w:after="40"/>
            </w:pPr>
            <w:r/>
            <w:r>
              <w:rPr>
                <w:rFonts w:ascii="Calibri" w:hAnsi="Calibri"/>
                <w:b w:val="0"/>
                <w:color w:val="0B2545"/>
                <w:sz w:val="17"/>
              </w:rPr>
              <w:t>knowledge_gap_events</w:t>
            </w:r>
          </w:p>
        </w:tc>
        <w:tc>
          <w:tcPr>
            <w:tcW w:type="dxa" w:w="3168"/>
            <w:vAlign w:val="center"/>
          </w:tcPr>
          <w:p>
            <w:pPr>
              <w:spacing w:after="40"/>
            </w:pPr>
            <w:r/>
            <w:r>
              <w:rPr>
                <w:rFonts w:ascii="Calibri" w:hAnsi="Calibri"/>
                <w:b w:val="0"/>
                <w:color w:val="0B2545"/>
                <w:sz w:val="17"/>
              </w:rPr>
              <w:t>Questions the bot could not answer</w:t>
            </w:r>
          </w:p>
        </w:tc>
      </w:tr>
      <w:tr>
        <w:tc>
          <w:tcPr>
            <w:tcW w:type="dxa" w:w="2088"/>
            <w:vAlign w:val="center"/>
            <w:shd w:fill="F4F6F9"/>
          </w:tcPr>
          <w:p>
            <w:pPr>
              <w:spacing w:after="40"/>
            </w:pPr>
            <w:r/>
            <w:r>
              <w:rPr>
                <w:rFonts w:ascii="Calibri" w:hAnsi="Calibri"/>
                <w:b w:val="0"/>
                <w:color w:val="0B2545"/>
                <w:sz w:val="17"/>
              </w:rPr>
              <w:t>Agent source records</w:t>
            </w:r>
          </w:p>
        </w:tc>
        <w:tc>
          <w:tcPr>
            <w:tcW w:type="dxa" w:w="4104"/>
            <w:vAlign w:val="center"/>
            <w:shd w:fill="F4F6F9"/>
          </w:tcPr>
          <w:p>
            <w:pPr>
              <w:spacing w:after="40"/>
            </w:pPr>
            <w:r/>
            <w:r>
              <w:rPr>
                <w:rFonts w:ascii="Calibri" w:hAnsi="Calibri"/>
                <w:b w:val="0"/>
                <w:color w:val="0B2545"/>
                <w:sz w:val="17"/>
              </w:rPr>
              <w:t>agent_sessions, agent_messages</w:t>
            </w:r>
          </w:p>
        </w:tc>
        <w:tc>
          <w:tcPr>
            <w:tcW w:type="dxa" w:w="3168"/>
            <w:vAlign w:val="center"/>
            <w:shd w:fill="F4F6F9"/>
          </w:tcPr>
          <w:p>
            <w:pPr>
              <w:spacing w:after="40"/>
            </w:pPr>
            <w:r/>
            <w:r>
              <w:rPr>
                <w:rFonts w:ascii="Calibri" w:hAnsi="Calibri"/>
                <w:b w:val="0"/>
                <w:color w:val="0B2545"/>
                <w:sz w:val="17"/>
              </w:rPr>
              <w:t>Original organization-owned human transcripts</w:t>
            </w:r>
          </w:p>
        </w:tc>
      </w:tr>
      <w:tr>
        <w:tc>
          <w:tcPr>
            <w:tcW w:type="dxa" w:w="2088"/>
            <w:vAlign w:val="center"/>
          </w:tcPr>
          <w:p>
            <w:pPr>
              <w:spacing w:after="40"/>
            </w:pPr>
            <w:r/>
            <w:r>
              <w:rPr>
                <w:rFonts w:ascii="Calibri" w:hAnsi="Calibri"/>
                <w:b w:val="0"/>
                <w:color w:val="0B2545"/>
                <w:sz w:val="17"/>
              </w:rPr>
              <w:t>Governed knowledge</w:t>
            </w:r>
          </w:p>
        </w:tc>
        <w:tc>
          <w:tcPr>
            <w:tcW w:type="dxa" w:w="4104"/>
            <w:vAlign w:val="center"/>
          </w:tcPr>
          <w:p>
            <w:pPr>
              <w:spacing w:after="40"/>
            </w:pPr>
            <w:r/>
            <w:r>
              <w:rPr>
                <w:rFonts w:ascii="Calibri" w:hAnsi="Calibri"/>
                <w:b w:val="0"/>
                <w:color w:val="0B2545"/>
                <w:sz w:val="17"/>
              </w:rPr>
              <w:t>knowledge_articles, knowledge_article_versions, bot_knowledge_articles</w:t>
            </w:r>
          </w:p>
        </w:tc>
        <w:tc>
          <w:tcPr>
            <w:tcW w:type="dxa" w:w="3168"/>
            <w:vAlign w:val="center"/>
          </w:tcPr>
          <w:p>
            <w:pPr>
              <w:spacing w:after="40"/>
            </w:pPr>
            <w:r/>
            <w:r>
              <w:rPr>
                <w:rFonts w:ascii="Calibri" w:hAnsi="Calibri"/>
                <w:b w:val="0"/>
                <w:color w:val="0B2545"/>
                <w:sz w:val="17"/>
              </w:rPr>
              <w:t>Approved content, active versions and bot KB</w:t>
            </w:r>
          </w:p>
        </w:tc>
      </w:tr>
      <w:tr>
        <w:tc>
          <w:tcPr>
            <w:tcW w:type="dxa" w:w="2088"/>
            <w:vAlign w:val="center"/>
            <w:shd w:fill="F4F6F9"/>
          </w:tcPr>
          <w:p>
            <w:pPr>
              <w:spacing w:after="40"/>
            </w:pPr>
            <w:r/>
            <w:r>
              <w:rPr>
                <w:rFonts w:ascii="Calibri" w:hAnsi="Calibri"/>
                <w:b w:val="0"/>
                <w:color w:val="0B2545"/>
                <w:sz w:val="17"/>
              </w:rPr>
              <w:t>Governance</w:t>
            </w:r>
          </w:p>
        </w:tc>
        <w:tc>
          <w:tcPr>
            <w:tcW w:type="dxa" w:w="4104"/>
            <w:vAlign w:val="center"/>
            <w:shd w:fill="F4F6F9"/>
          </w:tcPr>
          <w:p>
            <w:pPr>
              <w:spacing w:after="40"/>
            </w:pPr>
            <w:r/>
            <w:r>
              <w:rPr>
                <w:rFonts w:ascii="Calibri" w:hAnsi="Calibri"/>
                <w:b w:val="0"/>
                <w:color w:val="0B2545"/>
                <w:sz w:val="17"/>
              </w:rPr>
              <w:t>knowledge_audit_log, knowledge_curation_policies</w:t>
            </w:r>
          </w:p>
        </w:tc>
        <w:tc>
          <w:tcPr>
            <w:tcW w:type="dxa" w:w="3168"/>
            <w:vAlign w:val="center"/>
            <w:shd w:fill="F4F6F9"/>
          </w:tcPr>
          <w:p>
            <w:pPr>
              <w:spacing w:after="40"/>
            </w:pPr>
            <w:r/>
            <w:r>
              <w:rPr>
                <w:rFonts w:ascii="Calibri" w:hAnsi="Calibri"/>
                <w:b w:val="0"/>
                <w:color w:val="0B2545"/>
                <w:sz w:val="17"/>
              </w:rPr>
              <w:t>Change history and tenant-specific rules</w:t>
            </w:r>
          </w:p>
        </w:tc>
      </w:tr>
    </w:tbl>
    <w:p>
      <w:pPr>
        <w:spacing w:after="40"/>
      </w:pPr>
    </w:p>
    <w:p>
      <w:r>
        <w:t>Indexes cover organization plus time, session, mobile, category, status, gap state, durable-fact lookup and article/version status. These indexes support the dashboard and handoff without scanning full histories.</w:t>
      </w:r>
    </w:p>
    <w:p>
      <w:pPr>
        <w:pStyle w:val="Heading2"/>
      </w:pPr>
      <w:r>
        <w:t>8.1 Why Pinecone is not the only database</w:t>
      </w:r>
    </w:p>
    <w:p>
      <w:pPr>
        <w:pStyle w:val="ListBullet"/>
        <w:spacing w:after="80"/>
      </w:pPr>
      <w:r>
        <w:t>Vector search is optimized for semantic similarity, not transactions and joins.</w:t>
      </w:r>
    </w:p>
    <w:p>
      <w:pPr>
        <w:pStyle w:val="ListBullet"/>
        <w:spacing w:after="80"/>
      </w:pPr>
      <w:r>
        <w:t>Dashboards need exact grouped counts and time filters.</w:t>
      </w:r>
    </w:p>
    <w:p>
      <w:pPr>
        <w:pStyle w:val="ListBullet"/>
        <w:spacing w:after="80"/>
      </w:pPr>
      <w:r>
        <w:t>Knowledge lifecycle needs authoritative active/deleted/version state.</w:t>
      </w:r>
    </w:p>
    <w:p>
      <w:pPr>
        <w:pStyle w:val="ListBullet"/>
        <w:spacing w:after="80"/>
      </w:pPr>
      <w:r>
        <w:t>Auditability needs immutable source records and change logs.</w:t>
      </w:r>
    </w:p>
    <w:p>
      <w:pPr>
        <w:pStyle w:val="ListBullet"/>
        <w:spacing w:after="80"/>
      </w:pPr>
      <w:r>
        <w:t>Production therefore uses Pinecone for retrieval and PostgreSQL/warehouse storage for authoritative business data.</w:t>
      </w:r>
    </w:p>
    <w:p>
      <w:pPr>
        <w:pStyle w:val="Heading1"/>
      </w:pPr>
      <w:r>
        <w:t>9. Analytics</w:t>
      </w:r>
    </w:p>
    <w:p>
      <w:r>
        <w:t>Every event is tenant- and time-scoped. The dashboard can show contact volume, categories, sentiment, resolution state, unresolved sessions and missing knowledge. Groq may help classify or summarize language; database aggregation remains authoritative.</w:t>
      </w:r>
    </w:p>
    <w:tbl>
      <w:tblPr>
        <w:tblW w:type="auto" w:w="0"/>
        <w:jc w:val="center"/>
        <w:tblLayout w:type="fixed"/>
        <w:tblLook w:firstColumn="1" w:firstRow="1" w:lastColumn="0" w:lastRow="0" w:noHBand="0" w:noVBand="1" w:val="04A0"/>
      </w:tblPr>
      <w:tblGrid>
        <w:gridCol w:w="3120"/>
        <w:gridCol w:w="3120"/>
        <w:gridCol w:w="3120"/>
      </w:tblGrid>
      <w:tr>
        <w:tc>
          <w:tcPr>
            <w:tcW w:type="dxa" w:w="2088"/>
            <w:vAlign w:val="center"/>
            <w:shd w:fill="0B2545"/>
          </w:tcPr>
          <w:p>
            <w:pPr>
              <w:spacing w:after="40"/>
            </w:pPr>
            <w:r/>
            <w:r>
              <w:rPr>
                <w:rFonts w:ascii="Calibri" w:hAnsi="Calibri"/>
                <w:b/>
                <w:color w:val="FFFFFF"/>
                <w:sz w:val="17"/>
              </w:rPr>
              <w:t>Metric</w:t>
            </w:r>
          </w:p>
        </w:tc>
        <w:tc>
          <w:tcPr>
            <w:tcW w:type="dxa" w:w="3528"/>
            <w:vAlign w:val="center"/>
            <w:shd w:fill="0B2545"/>
          </w:tcPr>
          <w:p>
            <w:pPr>
              <w:spacing w:after="40"/>
            </w:pPr>
            <w:r/>
            <w:r>
              <w:rPr>
                <w:rFonts w:ascii="Calibri" w:hAnsi="Calibri"/>
                <w:b/>
                <w:color w:val="FFFFFF"/>
                <w:sz w:val="17"/>
              </w:rPr>
              <w:t>How it is produced</w:t>
            </w:r>
          </w:p>
        </w:tc>
        <w:tc>
          <w:tcPr>
            <w:tcW w:type="dxa" w:w="3744"/>
            <w:vAlign w:val="center"/>
            <w:shd w:fill="0B2545"/>
          </w:tcPr>
          <w:p>
            <w:pPr>
              <w:spacing w:after="40"/>
            </w:pPr>
            <w:r/>
            <w:r>
              <w:rPr>
                <w:rFonts w:ascii="Calibri" w:hAnsi="Calibri"/>
                <w:b/>
                <w:color w:val="FFFFFF"/>
                <w:sz w:val="17"/>
              </w:rPr>
              <w:t>Management use</w:t>
            </w:r>
          </w:p>
        </w:tc>
      </w:tr>
      <w:tr>
        <w:tc>
          <w:tcPr>
            <w:tcW w:type="dxa" w:w="2088"/>
            <w:vAlign w:val="center"/>
          </w:tcPr>
          <w:p>
            <w:pPr>
              <w:spacing w:after="40"/>
            </w:pPr>
            <w:r/>
            <w:r>
              <w:rPr>
                <w:rFonts w:ascii="Calibri" w:hAnsi="Calibri"/>
                <w:b w:val="0"/>
                <w:color w:val="0B2545"/>
                <w:sz w:val="17"/>
              </w:rPr>
              <w:t>Issue/category volume</w:t>
            </w:r>
          </w:p>
        </w:tc>
        <w:tc>
          <w:tcPr>
            <w:tcW w:type="dxa" w:w="3528"/>
            <w:vAlign w:val="center"/>
          </w:tcPr>
          <w:p>
            <w:pPr>
              <w:spacing w:after="40"/>
            </w:pPr>
            <w:r/>
            <w:r>
              <w:rPr>
                <w:rFonts w:ascii="Calibri" w:hAnsi="Calibri"/>
                <w:b w:val="0"/>
                <w:color w:val="0B2545"/>
                <w:sz w:val="17"/>
              </w:rPr>
              <w:t>Grouped structured events</w:t>
            </w:r>
          </w:p>
        </w:tc>
        <w:tc>
          <w:tcPr>
            <w:tcW w:type="dxa" w:w="3744"/>
            <w:vAlign w:val="center"/>
          </w:tcPr>
          <w:p>
            <w:pPr>
              <w:spacing w:after="40"/>
            </w:pPr>
            <w:r/>
            <w:r>
              <w:rPr>
                <w:rFonts w:ascii="Calibri" w:hAnsi="Calibri"/>
                <w:b w:val="0"/>
                <w:color w:val="0B2545"/>
                <w:sz w:val="17"/>
              </w:rPr>
              <w:t>Staffing and service priorities</w:t>
            </w:r>
          </w:p>
        </w:tc>
      </w:tr>
      <w:tr>
        <w:tc>
          <w:tcPr>
            <w:tcW w:type="dxa" w:w="2088"/>
            <w:vAlign w:val="center"/>
            <w:shd w:fill="F4F6F9"/>
          </w:tcPr>
          <w:p>
            <w:pPr>
              <w:spacing w:after="40"/>
            </w:pPr>
            <w:r/>
            <w:r>
              <w:rPr>
                <w:rFonts w:ascii="Calibri" w:hAnsi="Calibri"/>
                <w:b w:val="0"/>
                <w:color w:val="0B2545"/>
                <w:sz w:val="17"/>
              </w:rPr>
              <w:t>Resolution rate</w:t>
            </w:r>
          </w:p>
        </w:tc>
        <w:tc>
          <w:tcPr>
            <w:tcW w:type="dxa" w:w="3528"/>
            <w:vAlign w:val="center"/>
            <w:shd w:fill="F4F6F9"/>
          </w:tcPr>
          <w:p>
            <w:pPr>
              <w:spacing w:after="40"/>
            </w:pPr>
            <w:r/>
            <w:r>
              <w:rPr>
                <w:rFonts w:ascii="Calibri" w:hAnsi="Calibri"/>
                <w:b w:val="0"/>
                <w:color w:val="0B2545"/>
                <w:sz w:val="17"/>
              </w:rPr>
              <w:t>Session outcome/status</w:t>
            </w:r>
          </w:p>
        </w:tc>
        <w:tc>
          <w:tcPr>
            <w:tcW w:type="dxa" w:w="3744"/>
            <w:vAlign w:val="center"/>
            <w:shd w:fill="F4F6F9"/>
          </w:tcPr>
          <w:p>
            <w:pPr>
              <w:spacing w:after="40"/>
            </w:pPr>
            <w:r/>
            <w:r>
              <w:rPr>
                <w:rFonts w:ascii="Calibri" w:hAnsi="Calibri"/>
                <w:b w:val="0"/>
                <w:color w:val="0B2545"/>
                <w:sz w:val="17"/>
              </w:rPr>
              <w:t>Quality and escalation monitoring</w:t>
            </w:r>
          </w:p>
        </w:tc>
      </w:tr>
      <w:tr>
        <w:tc>
          <w:tcPr>
            <w:tcW w:type="dxa" w:w="2088"/>
            <w:vAlign w:val="center"/>
          </w:tcPr>
          <w:p>
            <w:pPr>
              <w:spacing w:after="40"/>
            </w:pPr>
            <w:r/>
            <w:r>
              <w:rPr>
                <w:rFonts w:ascii="Calibri" w:hAnsi="Calibri"/>
                <w:b w:val="0"/>
                <w:color w:val="0B2545"/>
                <w:sz w:val="17"/>
              </w:rPr>
              <w:t>Sentiment</w:t>
            </w:r>
          </w:p>
        </w:tc>
        <w:tc>
          <w:tcPr>
            <w:tcW w:type="dxa" w:w="3528"/>
            <w:vAlign w:val="center"/>
          </w:tcPr>
          <w:p>
            <w:pPr>
              <w:spacing w:after="40"/>
            </w:pPr>
            <w:r/>
            <w:r>
              <w:rPr>
                <w:rFonts w:ascii="Calibri" w:hAnsi="Calibri"/>
                <w:b w:val="0"/>
                <w:color w:val="0B2545"/>
                <w:sz w:val="17"/>
              </w:rPr>
              <w:t>Per-session/message classification</w:t>
            </w:r>
          </w:p>
        </w:tc>
        <w:tc>
          <w:tcPr>
            <w:tcW w:type="dxa" w:w="3744"/>
            <w:vAlign w:val="center"/>
          </w:tcPr>
          <w:p>
            <w:pPr>
              <w:spacing w:after="40"/>
            </w:pPr>
            <w:r/>
            <w:r>
              <w:rPr>
                <w:rFonts w:ascii="Calibri" w:hAnsi="Calibri"/>
                <w:b w:val="0"/>
                <w:color w:val="0B2545"/>
                <w:sz w:val="17"/>
              </w:rPr>
              <w:t>Identify frustration and risk</w:t>
            </w:r>
          </w:p>
        </w:tc>
      </w:tr>
      <w:tr>
        <w:tc>
          <w:tcPr>
            <w:tcW w:type="dxa" w:w="2088"/>
            <w:vAlign w:val="center"/>
            <w:shd w:fill="F4F6F9"/>
          </w:tcPr>
          <w:p>
            <w:pPr>
              <w:spacing w:after="40"/>
            </w:pPr>
            <w:r/>
            <w:r>
              <w:rPr>
                <w:rFonts w:ascii="Calibri" w:hAnsi="Calibri"/>
                <w:b w:val="0"/>
                <w:color w:val="0B2545"/>
                <w:sz w:val="17"/>
              </w:rPr>
              <w:t>Missing topics</w:t>
            </w:r>
          </w:p>
        </w:tc>
        <w:tc>
          <w:tcPr>
            <w:tcW w:type="dxa" w:w="3528"/>
            <w:vAlign w:val="center"/>
            <w:shd w:fill="F4F6F9"/>
          </w:tcPr>
          <w:p>
            <w:pPr>
              <w:spacing w:after="40"/>
            </w:pPr>
            <w:r/>
            <w:r>
              <w:rPr>
                <w:rFonts w:ascii="Calibri" w:hAnsi="Calibri"/>
                <w:b w:val="0"/>
                <w:color w:val="0B2545"/>
                <w:sz w:val="17"/>
              </w:rPr>
              <w:t>Only total bot+agent-knowledge misses</w:t>
            </w:r>
          </w:p>
        </w:tc>
        <w:tc>
          <w:tcPr>
            <w:tcW w:type="dxa" w:w="3744"/>
            <w:vAlign w:val="center"/>
            <w:shd w:fill="F4F6F9"/>
          </w:tcPr>
          <w:p>
            <w:pPr>
              <w:spacing w:after="40"/>
            </w:pPr>
            <w:r/>
            <w:r>
              <w:rPr>
                <w:rFonts w:ascii="Calibri" w:hAnsi="Calibri"/>
                <w:b w:val="0"/>
                <w:color w:val="0B2545"/>
                <w:sz w:val="17"/>
              </w:rPr>
              <w:t>Plan new KB training</w:t>
            </w:r>
          </w:p>
        </w:tc>
      </w:tr>
      <w:tr>
        <w:tc>
          <w:tcPr>
            <w:tcW w:type="dxa" w:w="2088"/>
            <w:vAlign w:val="center"/>
          </w:tcPr>
          <w:p>
            <w:pPr>
              <w:spacing w:after="40"/>
            </w:pPr>
            <w:r/>
            <w:r>
              <w:rPr>
                <w:rFonts w:ascii="Calibri" w:hAnsi="Calibri"/>
                <w:b w:val="0"/>
                <w:color w:val="0B2545"/>
                <w:sz w:val="17"/>
              </w:rPr>
              <w:t>Repeat contacts</w:t>
            </w:r>
          </w:p>
        </w:tc>
        <w:tc>
          <w:tcPr>
            <w:tcW w:type="dxa" w:w="3528"/>
            <w:vAlign w:val="center"/>
          </w:tcPr>
          <w:p>
            <w:pPr>
              <w:spacing w:after="40"/>
            </w:pPr>
            <w:r/>
            <w:r>
              <w:rPr>
                <w:rFonts w:ascii="Calibri" w:hAnsi="Calibri"/>
                <w:b w:val="0"/>
                <w:color w:val="0B2545"/>
                <w:sz w:val="17"/>
              </w:rPr>
              <w:t>Customer/session counts</w:t>
            </w:r>
          </w:p>
        </w:tc>
        <w:tc>
          <w:tcPr>
            <w:tcW w:type="dxa" w:w="3744"/>
            <w:vAlign w:val="center"/>
          </w:tcPr>
          <w:p>
            <w:pPr>
              <w:spacing w:after="40"/>
            </w:pPr>
            <w:r/>
            <w:r>
              <w:rPr>
                <w:rFonts w:ascii="Calibri" w:hAnsi="Calibri"/>
                <w:b w:val="0"/>
                <w:color w:val="0B2545"/>
                <w:sz w:val="17"/>
              </w:rPr>
              <w:t>Detect unresolved recurring problems</w:t>
            </w:r>
          </w:p>
        </w:tc>
      </w:tr>
    </w:tbl>
    <w:p>
      <w:pPr>
        <w:spacing w:after="40"/>
      </w:pPr>
    </w:p>
    <w:p>
      <w:r>
        <w:br w:type="page"/>
      </w:r>
    </w:p>
    <w:p>
      <w:pPr>
        <w:pStyle w:val="Heading1"/>
      </w:pPr>
      <w:r>
        <w:t>10. Security and Governance</w:t>
      </w:r>
    </w:p>
    <w:p>
      <w:pPr>
        <w:pStyle w:val="ListBullet"/>
        <w:spacing w:after="80"/>
      </w:pPr>
      <w:r>
        <w:t>Provider and service keys remain server-side in an ignored .env file.</w:t>
      </w:r>
    </w:p>
    <w:p>
      <w:pPr>
        <w:pStyle w:val="ListBullet"/>
        <w:spacing w:after="80"/>
      </w:pPr>
      <w:r>
        <w:t>Organization namespace and normalized customer identity are applied to every memory operation.</w:t>
      </w:r>
    </w:p>
    <w:p>
      <w:pPr>
        <w:pStyle w:val="ListBullet"/>
        <w:spacing w:after="80"/>
      </w:pPr>
      <w:r>
        <w:t>Role checks protect human-agent and administrator actions.</w:t>
      </w:r>
    </w:p>
    <w:p>
      <w:pPr>
        <w:pStyle w:val="ListBullet"/>
        <w:spacing w:after="80"/>
      </w:pPr>
      <w:r>
        <w:t>Knowledge is filtered through curation plus deterministic validation.</w:t>
      </w:r>
    </w:p>
    <w:p>
      <w:pPr>
        <w:pStyle w:val="ListBullet"/>
        <w:spacing w:after="80"/>
      </w:pPr>
      <w:r>
        <w:t>Version/status verification prevents stale Pinecone vectors from being used.</w:t>
      </w:r>
    </w:p>
    <w:p>
      <w:pPr>
        <w:pStyle w:val="ListBullet"/>
        <w:spacing w:after="80"/>
      </w:pPr>
      <w:r>
        <w:t>Keys exposed in messages must be rotated before production.</w:t>
      </w:r>
    </w:p>
    <w:p>
      <w:pPr>
        <w:pStyle w:val="ListBullet"/>
        <w:spacing w:after="80"/>
      </w:pPr>
      <w:r>
        <w:t>Production needs signed auth claims, TLS, rate limiting, retention/deletion policy and secrets management.</w:t>
      </w:r>
    </w:p>
    <w:p>
      <w:pPr>
        <w:pStyle w:val="Heading1"/>
      </w:pPr>
      <w:r>
        <w:t>11. Reliability and Performance</w:t>
      </w:r>
    </w:p>
    <w:p>
      <w:pPr>
        <w:pStyle w:val="ListBullet"/>
        <w:spacing w:after="80"/>
      </w:pPr>
      <w:r>
        <w:t>Profiles and summaries are recomputed on new events rather than on every handoff.</w:t>
      </w:r>
    </w:p>
    <w:p>
      <w:pPr>
        <w:pStyle w:val="ListBullet"/>
        <w:spacing w:after="80"/>
      </w:pPr>
      <w:r>
        <w:t>Local TTL cache accelerates the demo; Redis is the production shared-cache option.</w:t>
      </w:r>
    </w:p>
    <w:p>
      <w:pPr>
        <w:pStyle w:val="ListBullet"/>
        <w:spacing w:after="80"/>
      </w:pPr>
      <w:r>
        <w:t>Mem0/Pinecone cold initialization has a bounded timeout; structured session summaries preserve continuity during provider delays.</w:t>
      </w:r>
    </w:p>
    <w:p>
      <w:pPr>
        <w:pStyle w:val="ListBullet"/>
        <w:spacing w:after="80"/>
      </w:pPr>
      <w:r>
        <w:t>Tone has a short timeout and returns the original grounded answer if unavailable.</w:t>
      </w:r>
    </w:p>
    <w:p>
      <w:pPr>
        <w:pStyle w:val="ListBullet"/>
        <w:spacing w:after="80"/>
      </w:pPr>
      <w:r>
        <w:t>SQL indexes support tenant/time and profile/session lookups.</w:t>
      </w:r>
    </w:p>
    <w:p>
      <w:pPr>
        <w:pStyle w:val="ListBullet"/>
        <w:spacing w:after="80"/>
      </w:pPr>
      <w:r>
        <w:t>Production should add queue/outbox synchronization, retry limits, reconciliation and dead-letter handling.</w:t>
      </w:r>
    </w:p>
    <w:p>
      <w:pPr>
        <w:pStyle w:val="Heading1"/>
      </w:pPr>
      <w:r>
        <w:t>12. Testing Evidence</w:t>
      </w:r>
    </w:p>
    <w:tbl>
      <w:tblPr>
        <w:tblW w:type="auto" w:w="0"/>
        <w:jc w:val="center"/>
        <w:tblLayout w:type="fixed"/>
        <w:tblLook w:firstColumn="1" w:firstRow="1" w:lastColumn="0" w:lastRow="0" w:noHBand="0" w:noVBand="1" w:val="04A0"/>
      </w:tblPr>
      <w:tblGrid>
        <w:gridCol w:w="4680"/>
        <w:gridCol w:w="4680"/>
      </w:tblGrid>
      <w:tr>
        <w:tc>
          <w:tcPr>
            <w:tcW w:type="dxa" w:w="3096"/>
            <w:vAlign w:val="center"/>
            <w:shd w:fill="0B2545"/>
          </w:tcPr>
          <w:p>
            <w:pPr>
              <w:spacing w:after="40"/>
            </w:pPr>
            <w:r/>
            <w:r>
              <w:rPr>
                <w:rFonts w:ascii="Calibri" w:hAnsi="Calibri"/>
                <w:b/>
                <w:color w:val="FFFFFF"/>
                <w:sz w:val="17"/>
              </w:rPr>
              <w:t>Evidence</w:t>
            </w:r>
          </w:p>
        </w:tc>
        <w:tc>
          <w:tcPr>
            <w:tcW w:type="dxa" w:w="6264"/>
            <w:vAlign w:val="center"/>
            <w:shd w:fill="0B2545"/>
          </w:tcPr>
          <w:p>
            <w:pPr>
              <w:spacing w:after="40"/>
            </w:pPr>
            <w:r/>
            <w:r>
              <w:rPr>
                <w:rFonts w:ascii="Calibri" w:hAnsi="Calibri"/>
                <w:b/>
                <w:color w:val="FFFFFF"/>
                <w:sz w:val="17"/>
              </w:rPr>
              <w:t>Result</w:t>
            </w:r>
          </w:p>
        </w:tc>
      </w:tr>
      <w:tr>
        <w:tc>
          <w:tcPr>
            <w:tcW w:type="dxa" w:w="3096"/>
            <w:vAlign w:val="center"/>
          </w:tcPr>
          <w:p>
            <w:pPr>
              <w:spacing w:after="40"/>
            </w:pPr>
            <w:r/>
            <w:r>
              <w:rPr>
                <w:rFonts w:ascii="Calibri" w:hAnsi="Calibri"/>
                <w:b w:val="0"/>
                <w:color w:val="0B2545"/>
                <w:sz w:val="17"/>
              </w:rPr>
              <w:t>Automated suite</w:t>
            </w:r>
          </w:p>
        </w:tc>
        <w:tc>
          <w:tcPr>
            <w:tcW w:type="dxa" w:w="6264"/>
            <w:vAlign w:val="center"/>
          </w:tcPr>
          <w:p>
            <w:pPr>
              <w:spacing w:after="40"/>
            </w:pPr>
            <w:r/>
            <w:r>
              <w:rPr>
                <w:rFonts w:ascii="Calibri" w:hAnsi="Calibri"/>
                <w:b w:val="0"/>
                <w:color w:val="0B2545"/>
                <w:sz w:val="17"/>
              </w:rPr>
              <w:t>48 tests passing</w:t>
            </w:r>
          </w:p>
        </w:tc>
      </w:tr>
      <w:tr>
        <w:tc>
          <w:tcPr>
            <w:tcW w:type="dxa" w:w="3096"/>
            <w:vAlign w:val="center"/>
            <w:shd w:fill="F4F6F9"/>
          </w:tcPr>
          <w:p>
            <w:pPr>
              <w:spacing w:after="40"/>
            </w:pPr>
            <w:r/>
            <w:r>
              <w:rPr>
                <w:rFonts w:ascii="Calibri" w:hAnsi="Calibri"/>
                <w:b w:val="0"/>
                <w:color w:val="0B2545"/>
                <w:sz w:val="17"/>
              </w:rPr>
              <w:t>Real Pinecone index</w:t>
            </w:r>
          </w:p>
        </w:tc>
        <w:tc>
          <w:tcPr>
            <w:tcW w:type="dxa" w:w="6264"/>
            <w:vAlign w:val="center"/>
            <w:shd w:fill="F4F6F9"/>
          </w:tcPr>
          <w:p>
            <w:pPr>
              <w:spacing w:after="40"/>
            </w:pPr>
            <w:r/>
            <w:r>
              <w:rPr>
                <w:rFonts w:ascii="Calibri" w:hAnsi="Calibri"/>
                <w:b w:val="0"/>
                <w:color w:val="0B2545"/>
                <w:sz w:val="17"/>
              </w:rPr>
              <w:t>Ready, cosine metric, 768 dimensions</w:t>
            </w:r>
          </w:p>
        </w:tc>
      </w:tr>
      <w:tr>
        <w:tc>
          <w:tcPr>
            <w:tcW w:type="dxa" w:w="3096"/>
            <w:vAlign w:val="center"/>
          </w:tcPr>
          <w:p>
            <w:pPr>
              <w:spacing w:after="40"/>
            </w:pPr>
            <w:r/>
            <w:r>
              <w:rPr>
                <w:rFonts w:ascii="Calibri" w:hAnsi="Calibri"/>
                <w:b w:val="0"/>
                <w:color w:val="0B2545"/>
                <w:sz w:val="17"/>
              </w:rPr>
              <w:t>Real Mem0 round trip</w:t>
            </w:r>
          </w:p>
        </w:tc>
        <w:tc>
          <w:tcPr>
            <w:tcW w:type="dxa" w:w="6264"/>
            <w:vAlign w:val="center"/>
          </w:tcPr>
          <w:p>
            <w:pPr>
              <w:spacing w:after="40"/>
            </w:pPr>
            <w:r/>
            <w:r>
              <w:rPr>
                <w:rFonts w:ascii="Calibri" w:hAnsi="Calibri"/>
                <w:b w:val="0"/>
                <w:color w:val="0B2545"/>
                <w:sz w:val="17"/>
              </w:rPr>
              <w:t>Memory saved and retrieved from a different session</w:t>
            </w:r>
          </w:p>
        </w:tc>
      </w:tr>
      <w:tr>
        <w:tc>
          <w:tcPr>
            <w:tcW w:type="dxa" w:w="3096"/>
            <w:vAlign w:val="center"/>
            <w:shd w:fill="F4F6F9"/>
          </w:tcPr>
          <w:p>
            <w:pPr>
              <w:spacing w:after="40"/>
            </w:pPr>
            <w:r/>
            <w:r>
              <w:rPr>
                <w:rFonts w:ascii="Calibri" w:hAnsi="Calibri"/>
                <w:b w:val="0"/>
                <w:color w:val="0B2545"/>
                <w:sz w:val="17"/>
              </w:rPr>
              <w:t>Cross-session regression</w:t>
            </w:r>
          </w:p>
        </w:tc>
        <w:tc>
          <w:tcPr>
            <w:tcW w:type="dxa" w:w="6264"/>
            <w:vAlign w:val="center"/>
            <w:shd w:fill="F4F6F9"/>
          </w:tcPr>
          <w:p>
            <w:pPr>
              <w:spacing w:after="40"/>
            </w:pPr>
            <w:r/>
            <w:r>
              <w:rPr>
                <w:rFonts w:ascii="Calibri" w:hAnsi="Calibri"/>
                <w:b w:val="0"/>
                <w:color w:val="0B2545"/>
                <w:sz w:val="17"/>
              </w:rPr>
              <w:t>Current session no longer filters out earlier sessions</w:t>
            </w:r>
          </w:p>
        </w:tc>
      </w:tr>
      <w:tr>
        <w:tc>
          <w:tcPr>
            <w:tcW w:type="dxa" w:w="3096"/>
            <w:vAlign w:val="center"/>
          </w:tcPr>
          <w:p>
            <w:pPr>
              <w:spacing w:after="40"/>
            </w:pPr>
            <w:r/>
            <w:r>
              <w:rPr>
                <w:rFonts w:ascii="Calibri" w:hAnsi="Calibri"/>
                <w:b w:val="0"/>
                <w:color w:val="0B2545"/>
                <w:sz w:val="17"/>
              </w:rPr>
              <w:t>Isolation</w:t>
            </w:r>
          </w:p>
        </w:tc>
        <w:tc>
          <w:tcPr>
            <w:tcW w:type="dxa" w:w="6264"/>
            <w:vAlign w:val="center"/>
          </w:tcPr>
          <w:p>
            <w:pPr>
              <w:spacing w:after="40"/>
            </w:pPr>
            <w:r/>
            <w:r>
              <w:rPr>
                <w:rFonts w:ascii="Calibri" w:hAnsi="Calibri"/>
                <w:b w:val="0"/>
                <w:color w:val="0B2545"/>
                <w:sz w:val="17"/>
              </w:rPr>
              <w:t>Wrong organization/mobile cannot retrieve customer history</w:t>
            </w:r>
          </w:p>
        </w:tc>
      </w:tr>
      <w:tr>
        <w:tc>
          <w:tcPr>
            <w:tcW w:type="dxa" w:w="3096"/>
            <w:vAlign w:val="center"/>
            <w:shd w:fill="F4F6F9"/>
          </w:tcPr>
          <w:p>
            <w:pPr>
              <w:spacing w:after="40"/>
            </w:pPr>
            <w:r/>
            <w:r>
              <w:rPr>
                <w:rFonts w:ascii="Calibri" w:hAnsi="Calibri"/>
                <w:b w:val="0"/>
                <w:color w:val="0B2545"/>
                <w:sz w:val="17"/>
              </w:rPr>
              <w:t>Negative validation</w:t>
            </w:r>
          </w:p>
        </w:tc>
        <w:tc>
          <w:tcPr>
            <w:tcW w:type="dxa" w:w="6264"/>
            <w:vAlign w:val="center"/>
            <w:shd w:fill="F4F6F9"/>
          </w:tcPr>
          <w:p>
            <w:pPr>
              <w:spacing w:after="40"/>
            </w:pPr>
            <w:r/>
            <w:r>
              <w:rPr>
                <w:rFonts w:ascii="Calibri" w:hAnsi="Calibri"/>
                <w:b w:val="0"/>
                <w:color w:val="0B2545"/>
                <w:sz w:val="17"/>
              </w:rPr>
              <w:t>Bad keys, fields, roles, timestamps and scope mismatches covered</w:t>
            </w:r>
          </w:p>
        </w:tc>
      </w:tr>
      <w:tr>
        <w:tc>
          <w:tcPr>
            <w:tcW w:type="dxa" w:w="3096"/>
            <w:vAlign w:val="center"/>
          </w:tcPr>
          <w:p>
            <w:pPr>
              <w:spacing w:after="40"/>
            </w:pPr>
            <w:r/>
            <w:r>
              <w:rPr>
                <w:rFonts w:ascii="Calibri" w:hAnsi="Calibri"/>
                <w:b w:val="0"/>
                <w:color w:val="0B2545"/>
                <w:sz w:val="17"/>
              </w:rPr>
              <w:t>Knowledge governance</w:t>
            </w:r>
          </w:p>
        </w:tc>
        <w:tc>
          <w:tcPr>
            <w:tcW w:type="dxa" w:w="6264"/>
            <w:vAlign w:val="center"/>
          </w:tcPr>
          <w:p>
            <w:pPr>
              <w:spacing w:after="40"/>
            </w:pPr>
            <w:r/>
            <w:r>
              <w:rPr>
                <w:rFonts w:ascii="Calibri" w:hAnsi="Calibri"/>
                <w:b w:val="0"/>
                <w:color w:val="0B2545"/>
                <w:sz w:val="17"/>
              </w:rPr>
              <w:t>Rejection, version activation and disable/delete behavior covered</w:t>
            </w:r>
          </w:p>
        </w:tc>
      </w:tr>
    </w:tbl>
    <w:p>
      <w:pPr>
        <w:spacing w:after="40"/>
      </w:pPr>
    </w:p>
    <w:tbl>
      <w:tblPr>
        <w:tblW w:type="auto" w:w="0"/>
        <w:tblLayout w:type="fixed"/>
        <w:tblLook w:firstColumn="1" w:firstRow="1" w:lastColumn="0" w:lastRow="0" w:noHBand="0" w:noVBand="1" w:val="04A0"/>
      </w:tblPr>
      <w:tblGrid>
        <w:gridCol w:w="9360"/>
      </w:tblGrid>
      <w:tr>
        <w:tc>
          <w:tcPr>
            <w:tcW w:type="dxa" w:w="9360"/>
            <w:shd w:fill="EEF4FF"/>
          </w:tcPr>
          <w:p>
            <w:pPr>
              <w:spacing w:after="60"/>
            </w:pPr>
            <w:r>
              <w:rPr>
                <w:b/>
                <w:color w:val="0F766E"/>
              </w:rPr>
              <w:t xml:space="preserve">Verified example  </w:t>
            </w:r>
            <w:r>
              <w:t>The test query “What was my previous verification code word?” returned the exact saved Mem0/Pinecone vector from an older session, alongside the structured-summary resilience source.</w:t>
            </w:r>
          </w:p>
        </w:tc>
      </w:tr>
    </w:tbl>
    <w:p>
      <w:r>
        <w:br w:type="page"/>
      </w:r>
    </w:p>
    <w:p>
      <w:pPr>
        <w:pStyle w:val="Heading1"/>
      </w:pPr>
      <w:r>
        <w:t>13. Boss Demo Script</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648"/>
            <w:vAlign w:val="center"/>
            <w:shd w:fill="0B2545"/>
          </w:tcPr>
          <w:p>
            <w:pPr>
              <w:spacing w:after="40"/>
            </w:pPr>
            <w:r/>
            <w:r>
              <w:rPr>
                <w:rFonts w:ascii="Calibri" w:hAnsi="Calibri"/>
                <w:b/>
                <w:color w:val="FFFFFF"/>
                <w:sz w:val="17"/>
              </w:rPr>
              <w:t>Step</w:t>
            </w:r>
          </w:p>
        </w:tc>
        <w:tc>
          <w:tcPr>
            <w:tcW w:type="dxa" w:w="1152"/>
            <w:vAlign w:val="center"/>
            <w:shd w:fill="0B2545"/>
          </w:tcPr>
          <w:p>
            <w:pPr>
              <w:spacing w:after="40"/>
            </w:pPr>
            <w:r/>
            <w:r>
              <w:rPr>
                <w:rFonts w:ascii="Calibri" w:hAnsi="Calibri"/>
                <w:b/>
                <w:color w:val="FFFFFF"/>
                <w:sz w:val="17"/>
              </w:rPr>
              <w:t>Page</w:t>
            </w:r>
          </w:p>
        </w:tc>
        <w:tc>
          <w:tcPr>
            <w:tcW w:type="dxa" w:w="3456"/>
            <w:vAlign w:val="center"/>
            <w:shd w:fill="0B2545"/>
          </w:tcPr>
          <w:p>
            <w:pPr>
              <w:spacing w:after="40"/>
            </w:pPr>
            <w:r/>
            <w:r>
              <w:rPr>
                <w:rFonts w:ascii="Calibri" w:hAnsi="Calibri"/>
                <w:b/>
                <w:color w:val="FFFFFF"/>
                <w:sz w:val="17"/>
              </w:rPr>
              <w:t>Action</w:t>
            </w:r>
          </w:p>
        </w:tc>
        <w:tc>
          <w:tcPr>
            <w:tcW w:type="dxa" w:w="4104"/>
            <w:vAlign w:val="center"/>
            <w:shd w:fill="0B2545"/>
          </w:tcPr>
          <w:p>
            <w:pPr>
              <w:spacing w:after="40"/>
            </w:pPr>
            <w:r/>
            <w:r>
              <w:rPr>
                <w:rFonts w:ascii="Calibri" w:hAnsi="Calibri"/>
                <w:b/>
                <w:color w:val="FFFFFF"/>
                <w:sz w:val="17"/>
              </w:rPr>
              <w:t>What to explain</w:t>
            </w:r>
          </w:p>
        </w:tc>
      </w:tr>
      <w:tr>
        <w:tc>
          <w:tcPr>
            <w:tcW w:type="dxa" w:w="648"/>
            <w:vAlign w:val="center"/>
          </w:tcPr>
          <w:p>
            <w:pPr>
              <w:spacing w:after="40"/>
            </w:pPr>
            <w:r/>
            <w:r>
              <w:rPr>
                <w:rFonts w:ascii="Calibri" w:hAnsi="Calibri"/>
                <w:b w:val="0"/>
                <w:color w:val="0B2545"/>
                <w:sz w:val="17"/>
              </w:rPr>
              <w:t>1</w:t>
            </w:r>
          </w:p>
        </w:tc>
        <w:tc>
          <w:tcPr>
            <w:tcW w:type="dxa" w:w="1152"/>
            <w:vAlign w:val="center"/>
          </w:tcPr>
          <w:p>
            <w:pPr>
              <w:spacing w:after="40"/>
            </w:pPr>
            <w:r/>
            <w:r>
              <w:rPr>
                <w:rFonts w:ascii="Calibri" w:hAnsi="Calibri"/>
                <w:b w:val="0"/>
                <w:color w:val="0B2545"/>
                <w:sz w:val="17"/>
              </w:rPr>
              <w:t>/tools</w:t>
            </w:r>
          </w:p>
        </w:tc>
        <w:tc>
          <w:tcPr>
            <w:tcW w:type="dxa" w:w="3456"/>
            <w:vAlign w:val="center"/>
          </w:tcPr>
          <w:p>
            <w:pPr>
              <w:spacing w:after="40"/>
            </w:pPr>
            <w:r/>
            <w:r>
              <w:rPr>
                <w:rFonts w:ascii="Calibri" w:hAnsi="Calibri"/>
                <w:b w:val="0"/>
                <w:color w:val="0B2545"/>
                <w:sz w:val="17"/>
              </w:rPr>
              <w:t>Show 11 callable schemas</w:t>
            </w:r>
          </w:p>
        </w:tc>
        <w:tc>
          <w:tcPr>
            <w:tcW w:type="dxa" w:w="4104"/>
            <w:vAlign w:val="center"/>
          </w:tcPr>
          <w:p>
            <w:pPr>
              <w:spacing w:after="40"/>
            </w:pPr>
            <w:r/>
            <w:r>
              <w:rPr>
                <w:rFonts w:ascii="Calibri" w:hAnsi="Calibri"/>
                <w:b w:val="0"/>
                <w:color w:val="0B2545"/>
                <w:sz w:val="17"/>
              </w:rPr>
              <w:t>The service is tool-callable, not UI-only</w:t>
            </w:r>
          </w:p>
        </w:tc>
      </w:tr>
      <w:tr>
        <w:tc>
          <w:tcPr>
            <w:tcW w:type="dxa" w:w="648"/>
            <w:vAlign w:val="center"/>
            <w:shd w:fill="F4F6F9"/>
          </w:tcPr>
          <w:p>
            <w:pPr>
              <w:spacing w:after="40"/>
            </w:pPr>
            <w:r/>
            <w:r>
              <w:rPr>
                <w:rFonts w:ascii="Calibri" w:hAnsi="Calibri"/>
                <w:b w:val="0"/>
                <w:color w:val="0B2545"/>
                <w:sz w:val="17"/>
              </w:rPr>
              <w:t>2</w:t>
            </w:r>
          </w:p>
        </w:tc>
        <w:tc>
          <w:tcPr>
            <w:tcW w:type="dxa" w:w="1152"/>
            <w:vAlign w:val="center"/>
            <w:shd w:fill="F4F6F9"/>
          </w:tcPr>
          <w:p>
            <w:pPr>
              <w:spacing w:after="40"/>
            </w:pPr>
            <w:r/>
            <w:r>
              <w:rPr>
                <w:rFonts w:ascii="Calibri" w:hAnsi="Calibri"/>
                <w:b w:val="0"/>
                <w:color w:val="0B2545"/>
                <w:sz w:val="17"/>
              </w:rPr>
              <w:t>/custom</w:t>
            </w:r>
          </w:p>
        </w:tc>
        <w:tc>
          <w:tcPr>
            <w:tcW w:type="dxa" w:w="3456"/>
            <w:vAlign w:val="center"/>
            <w:shd w:fill="F4F6F9"/>
          </w:tcPr>
          <w:p>
            <w:pPr>
              <w:spacing w:after="40"/>
            </w:pPr>
            <w:r/>
            <w:r>
              <w:rPr>
                <w:rFonts w:ascii="Calibri" w:hAnsi="Calibri"/>
                <w:b w:val="0"/>
                <w:color w:val="0B2545"/>
                <w:sz w:val="17"/>
              </w:rPr>
              <w:t>Ask a normal policy question</w:t>
            </w:r>
          </w:p>
        </w:tc>
        <w:tc>
          <w:tcPr>
            <w:tcW w:type="dxa" w:w="4104"/>
            <w:vAlign w:val="center"/>
            <w:shd w:fill="F4F6F9"/>
          </w:tcPr>
          <w:p>
            <w:pPr>
              <w:spacing w:after="40"/>
            </w:pPr>
            <w:r/>
            <w:r>
              <w:rPr>
                <w:rFonts w:ascii="Calibri" w:hAnsi="Calibri"/>
                <w:b w:val="0"/>
                <w:color w:val="0B2545"/>
                <w:sz w:val="17"/>
              </w:rPr>
              <w:t>Bot KB is searched before agent knowledge</w:t>
            </w:r>
          </w:p>
        </w:tc>
      </w:tr>
      <w:tr>
        <w:tc>
          <w:tcPr>
            <w:tcW w:type="dxa" w:w="648"/>
            <w:vAlign w:val="center"/>
          </w:tcPr>
          <w:p>
            <w:pPr>
              <w:spacing w:after="40"/>
            </w:pPr>
            <w:r/>
            <w:r>
              <w:rPr>
                <w:rFonts w:ascii="Calibri" w:hAnsi="Calibri"/>
                <w:b w:val="0"/>
                <w:color w:val="0B2545"/>
                <w:sz w:val="17"/>
              </w:rPr>
              <w:t>3</w:t>
            </w:r>
          </w:p>
        </w:tc>
        <w:tc>
          <w:tcPr>
            <w:tcW w:type="dxa" w:w="1152"/>
            <w:vAlign w:val="center"/>
          </w:tcPr>
          <w:p>
            <w:pPr>
              <w:spacing w:after="40"/>
            </w:pPr>
            <w:r/>
            <w:r>
              <w:rPr>
                <w:rFonts w:ascii="Calibri" w:hAnsi="Calibri"/>
                <w:b w:val="0"/>
                <w:color w:val="0B2545"/>
                <w:sz w:val="17"/>
              </w:rPr>
              <w:t>/custom</w:t>
            </w:r>
          </w:p>
        </w:tc>
        <w:tc>
          <w:tcPr>
            <w:tcW w:type="dxa" w:w="3456"/>
            <w:vAlign w:val="center"/>
          </w:tcPr>
          <w:p>
            <w:pPr>
              <w:spacing w:after="40"/>
            </w:pPr>
            <w:r/>
            <w:r>
              <w:rPr>
                <w:rFonts w:ascii="Calibri" w:hAnsi="Calibri"/>
                <w:b w:val="0"/>
                <w:color w:val="0B2545"/>
                <w:sz w:val="17"/>
              </w:rPr>
              <w:t>Ask: What internet problem did I report previously?</w:t>
            </w:r>
          </w:p>
        </w:tc>
        <w:tc>
          <w:tcPr>
            <w:tcW w:type="dxa" w:w="4104"/>
            <w:vAlign w:val="center"/>
          </w:tcPr>
          <w:p>
            <w:pPr>
              <w:spacing w:after="40"/>
            </w:pPr>
            <w:r/>
            <w:r>
              <w:rPr>
                <w:rFonts w:ascii="Calibri" w:hAnsi="Calibri"/>
                <w:b w:val="0"/>
                <w:color w:val="0B2545"/>
                <w:sz w:val="17"/>
              </w:rPr>
              <w:t>Mem0/Pinecone cross-session recall</w:t>
            </w:r>
          </w:p>
        </w:tc>
      </w:tr>
      <w:tr>
        <w:tc>
          <w:tcPr>
            <w:tcW w:type="dxa" w:w="648"/>
            <w:vAlign w:val="center"/>
            <w:shd w:fill="F4F6F9"/>
          </w:tcPr>
          <w:p>
            <w:pPr>
              <w:spacing w:after="40"/>
            </w:pPr>
            <w:r/>
            <w:r>
              <w:rPr>
                <w:rFonts w:ascii="Calibri" w:hAnsi="Calibri"/>
                <w:b w:val="0"/>
                <w:color w:val="0B2545"/>
                <w:sz w:val="17"/>
              </w:rPr>
              <w:t>4</w:t>
            </w:r>
          </w:p>
        </w:tc>
        <w:tc>
          <w:tcPr>
            <w:tcW w:type="dxa" w:w="1152"/>
            <w:vAlign w:val="center"/>
            <w:shd w:fill="F4F6F9"/>
          </w:tcPr>
          <w:p>
            <w:pPr>
              <w:spacing w:after="40"/>
            </w:pPr>
            <w:r/>
            <w:r>
              <w:rPr>
                <w:rFonts w:ascii="Calibri" w:hAnsi="Calibri"/>
                <w:b w:val="0"/>
                <w:color w:val="0B2545"/>
                <w:sz w:val="17"/>
              </w:rPr>
              <w:t>/custom</w:t>
            </w:r>
          </w:p>
        </w:tc>
        <w:tc>
          <w:tcPr>
            <w:tcW w:type="dxa" w:w="3456"/>
            <w:vAlign w:val="center"/>
            <w:shd w:fill="F4F6F9"/>
          </w:tcPr>
          <w:p>
            <w:pPr>
              <w:spacing w:after="40"/>
            </w:pPr>
            <w:r/>
            <w:r>
              <w:rPr>
                <w:rFonts w:ascii="Calibri" w:hAnsi="Calibri"/>
                <w:b w:val="0"/>
                <w:color w:val="0B2545"/>
                <w:sz w:val="17"/>
              </w:rPr>
              <w:t>Escalate to human</w:t>
            </w:r>
          </w:p>
        </w:tc>
        <w:tc>
          <w:tcPr>
            <w:tcW w:type="dxa" w:w="4104"/>
            <w:vAlign w:val="center"/>
            <w:shd w:fill="F4F6F9"/>
          </w:tcPr>
          <w:p>
            <w:pPr>
              <w:spacing w:after="40"/>
            </w:pPr>
            <w:r/>
            <w:r>
              <w:rPr>
                <w:rFonts w:ascii="Calibri" w:hAnsi="Calibri"/>
                <w:b w:val="0"/>
                <w:color w:val="0B2545"/>
                <w:sz w:val="17"/>
              </w:rPr>
              <w:t>Concise handoff with expandable sessions</w:t>
            </w:r>
          </w:p>
        </w:tc>
      </w:tr>
      <w:tr>
        <w:tc>
          <w:tcPr>
            <w:tcW w:type="dxa" w:w="648"/>
            <w:vAlign w:val="center"/>
          </w:tcPr>
          <w:p>
            <w:pPr>
              <w:spacing w:after="40"/>
            </w:pPr>
            <w:r/>
            <w:r>
              <w:rPr>
                <w:rFonts w:ascii="Calibri" w:hAnsi="Calibri"/>
                <w:b w:val="0"/>
                <w:color w:val="0B2545"/>
                <w:sz w:val="17"/>
              </w:rPr>
              <w:t>5</w:t>
            </w:r>
          </w:p>
        </w:tc>
        <w:tc>
          <w:tcPr>
            <w:tcW w:type="dxa" w:w="1152"/>
            <w:vAlign w:val="center"/>
          </w:tcPr>
          <w:p>
            <w:pPr>
              <w:spacing w:after="40"/>
            </w:pPr>
            <w:r/>
            <w:r>
              <w:rPr>
                <w:rFonts w:ascii="Calibri" w:hAnsi="Calibri"/>
                <w:b w:val="0"/>
                <w:color w:val="0B2545"/>
                <w:sz w:val="17"/>
              </w:rPr>
              <w:t>/knowledge</w:t>
            </w:r>
          </w:p>
        </w:tc>
        <w:tc>
          <w:tcPr>
            <w:tcW w:type="dxa" w:w="3456"/>
            <w:vAlign w:val="center"/>
          </w:tcPr>
          <w:p>
            <w:pPr>
              <w:spacing w:after="40"/>
            </w:pPr>
            <w:r/>
            <w:r>
              <w:rPr>
                <w:rFonts w:ascii="Calibri" w:hAnsi="Calibri"/>
                <w:b w:val="0"/>
                <w:color w:val="0B2545"/>
                <w:sz w:val="17"/>
              </w:rPr>
              <w:t>Open an agent transcript and article versions</w:t>
            </w:r>
          </w:p>
        </w:tc>
        <w:tc>
          <w:tcPr>
            <w:tcW w:type="dxa" w:w="4104"/>
            <w:vAlign w:val="center"/>
          </w:tcPr>
          <w:p>
            <w:pPr>
              <w:spacing w:after="40"/>
            </w:pPr>
            <w:r/>
            <w:r>
              <w:rPr>
                <w:rFonts w:ascii="Calibri" w:hAnsi="Calibri"/>
                <w:b w:val="0"/>
                <w:color w:val="0B2545"/>
                <w:sz w:val="17"/>
              </w:rPr>
              <w:t>Strict reusable-knowledge governance</w:t>
            </w:r>
          </w:p>
        </w:tc>
      </w:tr>
      <w:tr>
        <w:tc>
          <w:tcPr>
            <w:tcW w:type="dxa" w:w="648"/>
            <w:vAlign w:val="center"/>
            <w:shd w:fill="F4F6F9"/>
          </w:tcPr>
          <w:p>
            <w:pPr>
              <w:spacing w:after="40"/>
            </w:pPr>
            <w:r/>
            <w:r>
              <w:rPr>
                <w:rFonts w:ascii="Calibri" w:hAnsi="Calibri"/>
                <w:b w:val="0"/>
                <w:color w:val="0B2545"/>
                <w:sz w:val="17"/>
              </w:rPr>
              <w:t>6</w:t>
            </w:r>
          </w:p>
        </w:tc>
        <w:tc>
          <w:tcPr>
            <w:tcW w:type="dxa" w:w="1152"/>
            <w:vAlign w:val="center"/>
            <w:shd w:fill="F4F6F9"/>
          </w:tcPr>
          <w:p>
            <w:pPr>
              <w:spacing w:after="40"/>
            </w:pPr>
            <w:r/>
            <w:r>
              <w:rPr>
                <w:rFonts w:ascii="Calibri" w:hAnsi="Calibri"/>
                <w:b w:val="0"/>
                <w:color w:val="0B2545"/>
                <w:sz w:val="17"/>
              </w:rPr>
              <w:t>/dashboard</w:t>
            </w:r>
          </w:p>
        </w:tc>
        <w:tc>
          <w:tcPr>
            <w:tcW w:type="dxa" w:w="3456"/>
            <w:vAlign w:val="center"/>
            <w:shd w:fill="F4F6F9"/>
          </w:tcPr>
          <w:p>
            <w:pPr>
              <w:spacing w:after="40"/>
            </w:pPr>
            <w:r/>
            <w:r>
              <w:rPr>
                <w:rFonts w:ascii="Calibri" w:hAnsi="Calibri"/>
                <w:b w:val="0"/>
                <w:color w:val="0B2545"/>
                <w:sz w:val="17"/>
              </w:rPr>
              <w:t>Show categories, resolution, sentiment and missing topics</w:t>
            </w:r>
          </w:p>
        </w:tc>
        <w:tc>
          <w:tcPr>
            <w:tcW w:type="dxa" w:w="4104"/>
            <w:vAlign w:val="center"/>
            <w:shd w:fill="F4F6F9"/>
          </w:tcPr>
          <w:p>
            <w:pPr>
              <w:spacing w:after="40"/>
            </w:pPr>
            <w:r/>
            <w:r>
              <w:rPr>
                <w:rFonts w:ascii="Calibri" w:hAnsi="Calibri"/>
                <w:b w:val="0"/>
                <w:color w:val="0B2545"/>
                <w:sz w:val="17"/>
              </w:rPr>
              <w:t>Memory becomes operational insight</w:t>
            </w:r>
          </w:p>
        </w:tc>
      </w:tr>
      <w:tr>
        <w:tc>
          <w:tcPr>
            <w:tcW w:type="dxa" w:w="648"/>
            <w:vAlign w:val="center"/>
          </w:tcPr>
          <w:p>
            <w:pPr>
              <w:spacing w:after="40"/>
            </w:pPr>
            <w:r/>
            <w:r>
              <w:rPr>
                <w:rFonts w:ascii="Calibri" w:hAnsi="Calibri"/>
                <w:b w:val="0"/>
                <w:color w:val="0B2545"/>
                <w:sz w:val="17"/>
              </w:rPr>
              <w:t>7</w:t>
            </w:r>
          </w:p>
        </w:tc>
        <w:tc>
          <w:tcPr>
            <w:tcW w:type="dxa" w:w="1152"/>
            <w:vAlign w:val="center"/>
          </w:tcPr>
          <w:p>
            <w:pPr>
              <w:spacing w:after="40"/>
            </w:pPr>
            <w:r/>
            <w:r>
              <w:rPr>
                <w:rFonts w:ascii="Calibri" w:hAnsi="Calibri"/>
                <w:b w:val="0"/>
                <w:color w:val="0B2545"/>
                <w:sz w:val="17"/>
              </w:rPr>
              <w:t>/api/health</w:t>
            </w:r>
          </w:p>
        </w:tc>
        <w:tc>
          <w:tcPr>
            <w:tcW w:type="dxa" w:w="3456"/>
            <w:vAlign w:val="center"/>
          </w:tcPr>
          <w:p>
            <w:pPr>
              <w:spacing w:after="40"/>
            </w:pPr>
            <w:r/>
            <w:r>
              <w:rPr>
                <w:rFonts w:ascii="Calibri" w:hAnsi="Calibri"/>
                <w:b w:val="0"/>
                <w:color w:val="0B2545"/>
                <w:sz w:val="17"/>
              </w:rPr>
              <w:t>Show active backend</w:t>
            </w:r>
          </w:p>
        </w:tc>
        <w:tc>
          <w:tcPr>
            <w:tcW w:type="dxa" w:w="4104"/>
            <w:vAlign w:val="center"/>
          </w:tcPr>
          <w:p>
            <w:pPr>
              <w:spacing w:after="40"/>
            </w:pPr>
            <w:r/>
            <w:r>
              <w:rPr>
                <w:rFonts w:ascii="Calibri" w:hAnsi="Calibri"/>
                <w:b w:val="0"/>
                <w:color w:val="0B2545"/>
                <w:sz w:val="17"/>
              </w:rPr>
              <w:t>mem0-groq-pinecone and cache status</w:t>
            </w:r>
          </w:p>
        </w:tc>
      </w:tr>
    </w:tbl>
    <w:p>
      <w:pPr>
        <w:spacing w:after="40"/>
      </w:pPr>
    </w:p>
    <w:p>
      <w:pPr>
        <w:pStyle w:val="Heading2"/>
      </w:pPr>
      <w:r>
        <w:t>13.1 Suggested 60-second explanation</w:t>
      </w:r>
    </w:p>
    <w:p>
      <w:r>
        <w:t>“I built a Flask tool-calling service that gives a support bot safe organizational memory. Mem0 orchestrates cross-session memory, Pinecone stores tenant-isolated vectors, Groq handles language tasks, and SQL keeps authoritative profiles, analytics and knowledge versions. The bot searches personal history only for personal-history questions; general questions use bot knowledge first and approved human-agent knowledge second. Human handoff shows concise session summaries, and unanswered topics become dashboard priorities. The implementation has 48 passing tests and a verified real Mem0/Pinecone round trip.”</w:t>
      </w:r>
    </w:p>
    <w:p>
      <w:pPr>
        <w:pStyle w:val="Heading1"/>
      </w:pPr>
      <w:r>
        <w:t>14. Production Roadmap</w:t>
      </w:r>
    </w:p>
    <w:tbl>
      <w:tblPr>
        <w:tblW w:type="auto" w:w="0"/>
        <w:jc w:val="center"/>
        <w:tblLayout w:type="fixed"/>
        <w:tblLook w:firstColumn="1" w:firstRow="1" w:lastColumn="0" w:lastRow="0" w:noHBand="0" w:noVBand="1" w:val="04A0"/>
      </w:tblPr>
      <w:tblGrid>
        <w:gridCol w:w="3120"/>
        <w:gridCol w:w="3120"/>
        <w:gridCol w:w="3120"/>
      </w:tblGrid>
      <w:tr>
        <w:tc>
          <w:tcPr>
            <w:tcW w:type="dxa" w:w="936"/>
            <w:vAlign w:val="center"/>
            <w:shd w:fill="0B2545"/>
          </w:tcPr>
          <w:p>
            <w:pPr>
              <w:spacing w:after="40"/>
            </w:pPr>
            <w:r/>
            <w:r>
              <w:rPr>
                <w:rFonts w:ascii="Calibri" w:hAnsi="Calibri"/>
                <w:b/>
                <w:color w:val="FFFFFF"/>
                <w:sz w:val="17"/>
              </w:rPr>
              <w:t>Priority</w:t>
            </w:r>
          </w:p>
        </w:tc>
        <w:tc>
          <w:tcPr>
            <w:tcW w:type="dxa" w:w="4680"/>
            <w:vAlign w:val="center"/>
            <w:shd w:fill="0B2545"/>
          </w:tcPr>
          <w:p>
            <w:pPr>
              <w:spacing w:after="40"/>
            </w:pPr>
            <w:r/>
            <w:r>
              <w:rPr>
                <w:rFonts w:ascii="Calibri" w:hAnsi="Calibri"/>
                <w:b/>
                <w:color w:val="FFFFFF"/>
                <w:sz w:val="17"/>
              </w:rPr>
              <w:t>Change</w:t>
            </w:r>
          </w:p>
        </w:tc>
        <w:tc>
          <w:tcPr>
            <w:tcW w:type="dxa" w:w="3744"/>
            <w:vAlign w:val="center"/>
            <w:shd w:fill="0B2545"/>
          </w:tcPr>
          <w:p>
            <w:pPr>
              <w:spacing w:after="40"/>
            </w:pPr>
            <w:r/>
            <w:r>
              <w:rPr>
                <w:rFonts w:ascii="Calibri" w:hAnsi="Calibri"/>
                <w:b/>
                <w:color w:val="FFFFFF"/>
                <w:sz w:val="17"/>
              </w:rPr>
              <w:t>Reason</w:t>
            </w:r>
          </w:p>
        </w:tc>
      </w:tr>
      <w:tr>
        <w:tc>
          <w:tcPr>
            <w:tcW w:type="dxa" w:w="936"/>
            <w:vAlign w:val="center"/>
          </w:tcPr>
          <w:p>
            <w:pPr>
              <w:spacing w:after="40"/>
            </w:pPr>
            <w:r/>
            <w:r>
              <w:rPr>
                <w:rFonts w:ascii="Calibri" w:hAnsi="Calibri"/>
                <w:b w:val="0"/>
                <w:color w:val="0B2545"/>
                <w:sz w:val="17"/>
              </w:rPr>
              <w:t>P0</w:t>
            </w:r>
          </w:p>
        </w:tc>
        <w:tc>
          <w:tcPr>
            <w:tcW w:type="dxa" w:w="4680"/>
            <w:vAlign w:val="center"/>
          </w:tcPr>
          <w:p>
            <w:pPr>
              <w:spacing w:after="40"/>
            </w:pPr>
            <w:r/>
            <w:r>
              <w:rPr>
                <w:rFonts w:ascii="Calibri" w:hAnsi="Calibri"/>
                <w:b w:val="0"/>
                <w:color w:val="0B2545"/>
                <w:sz w:val="17"/>
              </w:rPr>
              <w:t>Rotate exposed keys and use a secrets manager</w:t>
            </w:r>
          </w:p>
        </w:tc>
        <w:tc>
          <w:tcPr>
            <w:tcW w:type="dxa" w:w="3744"/>
            <w:vAlign w:val="center"/>
          </w:tcPr>
          <w:p>
            <w:pPr>
              <w:spacing w:after="40"/>
            </w:pPr>
            <w:r/>
            <w:r>
              <w:rPr>
                <w:rFonts w:ascii="Calibri" w:hAnsi="Calibri"/>
                <w:b w:val="0"/>
                <w:color w:val="0B2545"/>
                <w:sz w:val="17"/>
              </w:rPr>
              <w:t>Credential safety</w:t>
            </w:r>
          </w:p>
        </w:tc>
      </w:tr>
      <w:tr>
        <w:tc>
          <w:tcPr>
            <w:tcW w:type="dxa" w:w="936"/>
            <w:vAlign w:val="center"/>
            <w:shd w:fill="F4F6F9"/>
          </w:tcPr>
          <w:p>
            <w:pPr>
              <w:spacing w:after="40"/>
            </w:pPr>
            <w:r/>
            <w:r>
              <w:rPr>
                <w:rFonts w:ascii="Calibri" w:hAnsi="Calibri"/>
                <w:b w:val="0"/>
                <w:color w:val="0B2545"/>
                <w:sz w:val="17"/>
              </w:rPr>
              <w:t>P0</w:t>
            </w:r>
          </w:p>
        </w:tc>
        <w:tc>
          <w:tcPr>
            <w:tcW w:type="dxa" w:w="4680"/>
            <w:vAlign w:val="center"/>
            <w:shd w:fill="F4F6F9"/>
          </w:tcPr>
          <w:p>
            <w:pPr>
              <w:spacing w:after="40"/>
            </w:pPr>
            <w:r/>
            <w:r>
              <w:rPr>
                <w:rFonts w:ascii="Calibri" w:hAnsi="Calibri"/>
                <w:b w:val="0"/>
                <w:color w:val="0B2545"/>
                <w:sz w:val="17"/>
              </w:rPr>
              <w:t>Signed authentication claims for tenant/user/role</w:t>
            </w:r>
          </w:p>
        </w:tc>
        <w:tc>
          <w:tcPr>
            <w:tcW w:type="dxa" w:w="3744"/>
            <w:vAlign w:val="center"/>
            <w:shd w:fill="F4F6F9"/>
          </w:tcPr>
          <w:p>
            <w:pPr>
              <w:spacing w:after="40"/>
            </w:pPr>
            <w:r/>
            <w:r>
              <w:rPr>
                <w:rFonts w:ascii="Calibri" w:hAnsi="Calibri"/>
                <w:b w:val="0"/>
                <w:color w:val="0B2545"/>
                <w:sz w:val="17"/>
              </w:rPr>
              <w:t>Prevent client-controlled scope</w:t>
            </w:r>
          </w:p>
        </w:tc>
      </w:tr>
      <w:tr>
        <w:tc>
          <w:tcPr>
            <w:tcW w:type="dxa" w:w="936"/>
            <w:vAlign w:val="center"/>
          </w:tcPr>
          <w:p>
            <w:pPr>
              <w:spacing w:after="40"/>
            </w:pPr>
            <w:r/>
            <w:r>
              <w:rPr>
                <w:rFonts w:ascii="Calibri" w:hAnsi="Calibri"/>
                <w:b w:val="0"/>
                <w:color w:val="0B2545"/>
                <w:sz w:val="17"/>
              </w:rPr>
              <w:t>P0</w:t>
            </w:r>
          </w:p>
        </w:tc>
        <w:tc>
          <w:tcPr>
            <w:tcW w:type="dxa" w:w="4680"/>
            <w:vAlign w:val="center"/>
          </w:tcPr>
          <w:p>
            <w:pPr>
              <w:spacing w:after="40"/>
            </w:pPr>
            <w:r/>
            <w:r>
              <w:rPr>
                <w:rFonts w:ascii="Calibri" w:hAnsi="Calibri"/>
                <w:b w:val="0"/>
                <w:color w:val="0B2545"/>
                <w:sz w:val="17"/>
              </w:rPr>
              <w:t>PostgreSQL plus migrations and backups</w:t>
            </w:r>
          </w:p>
        </w:tc>
        <w:tc>
          <w:tcPr>
            <w:tcW w:type="dxa" w:w="3744"/>
            <w:vAlign w:val="center"/>
          </w:tcPr>
          <w:p>
            <w:pPr>
              <w:spacing w:after="40"/>
            </w:pPr>
            <w:r/>
            <w:r>
              <w:rPr>
                <w:rFonts w:ascii="Calibri" w:hAnsi="Calibri"/>
                <w:b w:val="0"/>
                <w:color w:val="0B2545"/>
                <w:sz w:val="17"/>
              </w:rPr>
              <w:t>Concurrency, durability and scale</w:t>
            </w:r>
          </w:p>
        </w:tc>
      </w:tr>
      <w:tr>
        <w:tc>
          <w:tcPr>
            <w:tcW w:type="dxa" w:w="936"/>
            <w:vAlign w:val="center"/>
            <w:shd w:fill="F4F6F9"/>
          </w:tcPr>
          <w:p>
            <w:pPr>
              <w:spacing w:after="40"/>
            </w:pPr>
            <w:r/>
            <w:r>
              <w:rPr>
                <w:rFonts w:ascii="Calibri" w:hAnsi="Calibri"/>
                <w:b w:val="0"/>
                <w:color w:val="0B2545"/>
                <w:sz w:val="17"/>
              </w:rPr>
              <w:t>P1</w:t>
            </w:r>
          </w:p>
        </w:tc>
        <w:tc>
          <w:tcPr>
            <w:tcW w:type="dxa" w:w="4680"/>
            <w:vAlign w:val="center"/>
            <w:shd w:fill="F4F6F9"/>
          </w:tcPr>
          <w:p>
            <w:pPr>
              <w:spacing w:after="40"/>
            </w:pPr>
            <w:r/>
            <w:r>
              <w:rPr>
                <w:rFonts w:ascii="Calibri" w:hAnsi="Calibri"/>
                <w:b w:val="0"/>
                <w:color w:val="0B2545"/>
                <w:sz w:val="17"/>
              </w:rPr>
              <w:t>Queue/outbox for Pinecone and imports</w:t>
            </w:r>
          </w:p>
        </w:tc>
        <w:tc>
          <w:tcPr>
            <w:tcW w:type="dxa" w:w="3744"/>
            <w:vAlign w:val="center"/>
            <w:shd w:fill="F4F6F9"/>
          </w:tcPr>
          <w:p>
            <w:pPr>
              <w:spacing w:after="40"/>
            </w:pPr>
            <w:r/>
            <w:r>
              <w:rPr>
                <w:rFonts w:ascii="Calibri" w:hAnsi="Calibri"/>
                <w:b w:val="0"/>
                <w:color w:val="0B2545"/>
                <w:sz w:val="17"/>
              </w:rPr>
              <w:t>Reliable synchronization and retries</w:t>
            </w:r>
          </w:p>
        </w:tc>
      </w:tr>
      <w:tr>
        <w:tc>
          <w:tcPr>
            <w:tcW w:type="dxa" w:w="936"/>
            <w:vAlign w:val="center"/>
          </w:tcPr>
          <w:p>
            <w:pPr>
              <w:spacing w:after="40"/>
            </w:pPr>
            <w:r/>
            <w:r>
              <w:rPr>
                <w:rFonts w:ascii="Calibri" w:hAnsi="Calibri"/>
                <w:b w:val="0"/>
                <w:color w:val="0B2545"/>
                <w:sz w:val="17"/>
              </w:rPr>
              <w:t>P1</w:t>
            </w:r>
          </w:p>
        </w:tc>
        <w:tc>
          <w:tcPr>
            <w:tcW w:type="dxa" w:w="4680"/>
            <w:vAlign w:val="center"/>
          </w:tcPr>
          <w:p>
            <w:pPr>
              <w:spacing w:after="40"/>
            </w:pPr>
            <w:r/>
            <w:r>
              <w:rPr>
                <w:rFonts w:ascii="Calibri" w:hAnsi="Calibri"/>
                <w:b w:val="0"/>
                <w:color w:val="0B2545"/>
                <w:sz w:val="17"/>
              </w:rPr>
              <w:t>Redis shared cache</w:t>
            </w:r>
          </w:p>
        </w:tc>
        <w:tc>
          <w:tcPr>
            <w:tcW w:type="dxa" w:w="3744"/>
            <w:vAlign w:val="center"/>
          </w:tcPr>
          <w:p>
            <w:pPr>
              <w:spacing w:after="40"/>
            </w:pPr>
            <w:r/>
            <w:r>
              <w:rPr>
                <w:rFonts w:ascii="Calibri" w:hAnsi="Calibri"/>
                <w:b w:val="0"/>
                <w:color w:val="0B2545"/>
                <w:sz w:val="17"/>
              </w:rPr>
              <w:t>Multi-worker performance</w:t>
            </w:r>
          </w:p>
        </w:tc>
      </w:tr>
      <w:tr>
        <w:tc>
          <w:tcPr>
            <w:tcW w:type="dxa" w:w="936"/>
            <w:vAlign w:val="center"/>
            <w:shd w:fill="F4F6F9"/>
          </w:tcPr>
          <w:p>
            <w:pPr>
              <w:spacing w:after="40"/>
            </w:pPr>
            <w:r/>
            <w:r>
              <w:rPr>
                <w:rFonts w:ascii="Calibri" w:hAnsi="Calibri"/>
                <w:b w:val="0"/>
                <w:color w:val="0B2545"/>
                <w:sz w:val="17"/>
              </w:rPr>
              <w:t>P1</w:t>
            </w:r>
          </w:p>
        </w:tc>
        <w:tc>
          <w:tcPr>
            <w:tcW w:type="dxa" w:w="4680"/>
            <w:vAlign w:val="center"/>
            <w:shd w:fill="F4F6F9"/>
          </w:tcPr>
          <w:p>
            <w:pPr>
              <w:spacing w:after="40"/>
            </w:pPr>
            <w:r/>
            <w:r>
              <w:rPr>
                <w:rFonts w:ascii="Calibri" w:hAnsi="Calibri"/>
                <w:b w:val="0"/>
                <w:color w:val="0B2545"/>
                <w:sz w:val="17"/>
              </w:rPr>
              <w:t>Metrics, tracing, alerts and provider SLAs</w:t>
            </w:r>
          </w:p>
        </w:tc>
        <w:tc>
          <w:tcPr>
            <w:tcW w:type="dxa" w:w="3744"/>
            <w:vAlign w:val="center"/>
            <w:shd w:fill="F4F6F9"/>
          </w:tcPr>
          <w:p>
            <w:pPr>
              <w:spacing w:after="40"/>
            </w:pPr>
            <w:r/>
            <w:r>
              <w:rPr>
                <w:rFonts w:ascii="Calibri" w:hAnsi="Calibri"/>
                <w:b w:val="0"/>
                <w:color w:val="0B2545"/>
                <w:sz w:val="17"/>
              </w:rPr>
              <w:t>Operational visibility</w:t>
            </w:r>
          </w:p>
        </w:tc>
      </w:tr>
      <w:tr>
        <w:tc>
          <w:tcPr>
            <w:tcW w:type="dxa" w:w="936"/>
            <w:vAlign w:val="center"/>
          </w:tcPr>
          <w:p>
            <w:pPr>
              <w:spacing w:after="40"/>
            </w:pPr>
            <w:r/>
            <w:r>
              <w:rPr>
                <w:rFonts w:ascii="Calibri" w:hAnsi="Calibri"/>
                <w:b w:val="0"/>
                <w:color w:val="0B2545"/>
                <w:sz w:val="17"/>
              </w:rPr>
              <w:t>P2</w:t>
            </w:r>
          </w:p>
        </w:tc>
        <w:tc>
          <w:tcPr>
            <w:tcW w:type="dxa" w:w="4680"/>
            <w:vAlign w:val="center"/>
          </w:tcPr>
          <w:p>
            <w:pPr>
              <w:spacing w:after="40"/>
            </w:pPr>
            <w:r/>
            <w:r>
              <w:rPr>
                <w:rFonts w:ascii="Calibri" w:hAnsi="Calibri"/>
                <w:b w:val="0"/>
                <w:color w:val="0B2545"/>
                <w:sz w:val="17"/>
              </w:rPr>
              <w:t>Retention, deletion and consent workflows</w:t>
            </w:r>
          </w:p>
        </w:tc>
        <w:tc>
          <w:tcPr>
            <w:tcW w:type="dxa" w:w="3744"/>
            <w:vAlign w:val="center"/>
          </w:tcPr>
          <w:p>
            <w:pPr>
              <w:spacing w:after="40"/>
            </w:pPr>
            <w:r/>
            <w:r>
              <w:rPr>
                <w:rFonts w:ascii="Calibri" w:hAnsi="Calibri"/>
                <w:b w:val="0"/>
                <w:color w:val="0B2545"/>
                <w:sz w:val="17"/>
              </w:rPr>
              <w:t>Privacy and compliance</w:t>
            </w:r>
          </w:p>
        </w:tc>
      </w:tr>
      <w:tr>
        <w:tc>
          <w:tcPr>
            <w:tcW w:type="dxa" w:w="936"/>
            <w:vAlign w:val="center"/>
            <w:shd w:fill="F4F6F9"/>
          </w:tcPr>
          <w:p>
            <w:pPr>
              <w:spacing w:after="40"/>
            </w:pPr>
            <w:r/>
            <w:r>
              <w:rPr>
                <w:rFonts w:ascii="Calibri" w:hAnsi="Calibri"/>
                <w:b w:val="0"/>
                <w:color w:val="0B2545"/>
                <w:sz w:val="17"/>
              </w:rPr>
              <w:t>P2</w:t>
            </w:r>
          </w:p>
        </w:tc>
        <w:tc>
          <w:tcPr>
            <w:tcW w:type="dxa" w:w="4680"/>
            <w:vAlign w:val="center"/>
            <w:shd w:fill="F4F6F9"/>
          </w:tcPr>
          <w:p>
            <w:pPr>
              <w:spacing w:after="40"/>
            </w:pPr>
            <w:r/>
            <w:r>
              <w:rPr>
                <w:rFonts w:ascii="Calibri" w:hAnsi="Calibri"/>
                <w:b w:val="0"/>
                <w:color w:val="0B2545"/>
                <w:sz w:val="17"/>
              </w:rPr>
              <w:t>Evaluation dataset and relevance monitoring</w:t>
            </w:r>
          </w:p>
        </w:tc>
        <w:tc>
          <w:tcPr>
            <w:tcW w:type="dxa" w:w="3744"/>
            <w:vAlign w:val="center"/>
            <w:shd w:fill="F4F6F9"/>
          </w:tcPr>
          <w:p>
            <w:pPr>
              <w:spacing w:after="40"/>
            </w:pPr>
            <w:r/>
            <w:r>
              <w:rPr>
                <w:rFonts w:ascii="Calibri" w:hAnsi="Calibri"/>
                <w:b w:val="0"/>
                <w:color w:val="0B2545"/>
                <w:sz w:val="17"/>
              </w:rPr>
              <w:t>Measure RAG quality over time</w:t>
            </w:r>
          </w:p>
        </w:tc>
      </w:tr>
    </w:tbl>
    <w:p>
      <w:pPr>
        <w:spacing w:after="40"/>
      </w:pPr>
    </w:p>
    <w:p>
      <w:r>
        <w:br w:type="page"/>
      </w:r>
    </w:p>
    <w:p>
      <w:pPr>
        <w:pStyle w:val="Heading1"/>
      </w:pPr>
      <w:r>
        <w:t>15. Limitations and Honest Status</w:t>
      </w:r>
    </w:p>
    <w:p>
      <w:pPr>
        <w:pStyle w:val="ListBullet"/>
        <w:spacing w:after="80"/>
      </w:pPr>
      <w:r>
        <w:t>The current database is SQLite and is intended for demonstration, not multi-instance production.</w:t>
      </w:r>
    </w:p>
    <w:p>
      <w:pPr>
        <w:pStyle w:val="ListBullet"/>
        <w:spacing w:after="80"/>
      </w:pPr>
      <w:r>
        <w:t>The Flask development server must be replaced by a production WSGI deployment.</w:t>
      </w:r>
    </w:p>
    <w:p>
      <w:pPr>
        <w:pStyle w:val="ListBullet"/>
        <w:spacing w:after="80"/>
      </w:pPr>
      <w:r>
        <w:t>External providers can have cold starts, rate limits and outages; fallbacks reduce impact but do not remove dependency risk.</w:t>
      </w:r>
    </w:p>
    <w:p>
      <w:pPr>
        <w:pStyle w:val="ListBullet"/>
        <w:spacing w:after="80"/>
      </w:pPr>
      <w:r>
        <w:t>Historical backfill quality depends on source transcript quality and strict curation.</w:t>
      </w:r>
    </w:p>
    <w:p>
      <w:pPr>
        <w:pStyle w:val="ListBullet"/>
        <w:spacing w:after="80"/>
      </w:pPr>
      <w:r>
        <w:t>Analytics classification should be evaluated against labeled organization data before business decisions depend on it.</w:t>
      </w:r>
    </w:p>
    <w:p>
      <w:pPr>
        <w:pStyle w:val="ListBullet"/>
        <w:spacing w:after="80"/>
      </w:pPr>
      <w:r>
        <w:t>Browser-side demo authentication must be replaced by real sessions and claims.</w:t>
      </w:r>
    </w:p>
    <w:p>
      <w:pPr>
        <w:pStyle w:val="Heading1"/>
      </w:pPr>
      <w:r>
        <w:t>16. Internship Outcomes</w:t>
      </w:r>
    </w:p>
    <w:p>
      <w:pPr>
        <w:pStyle w:val="ListBullet"/>
        <w:spacing w:after="80"/>
      </w:pPr>
      <w:r>
        <w:t>Designed a multi-tenant memory and retrieval architecture.</w:t>
      </w:r>
    </w:p>
    <w:p>
      <w:pPr>
        <w:pStyle w:val="ListBullet"/>
        <w:spacing w:after="80"/>
      </w:pPr>
      <w:r>
        <w:t>Integrated Flask tool calling with Mem0, Pinecone, Groq and Ollama.</w:t>
      </w:r>
    </w:p>
    <w:p>
      <w:pPr>
        <w:pStyle w:val="ListBullet"/>
        <w:spacing w:after="80"/>
      </w:pPr>
      <w:r>
        <w:t>Implemented relevance routing between personal memory, bot KB and agent knowledge.</w:t>
      </w:r>
    </w:p>
    <w:p>
      <w:pPr>
        <w:pStyle w:val="ListBullet"/>
        <w:spacing w:after="80"/>
      </w:pPr>
      <w:r>
        <w:t>Built governed, versioned knowledge from human-agent transcripts.</w:t>
      </w:r>
    </w:p>
    <w:p>
      <w:pPr>
        <w:pStyle w:val="ListBullet"/>
        <w:spacing w:after="80"/>
      </w:pPr>
      <w:r>
        <w:t>Created optimized handoff profiles and organization analytics.</w:t>
      </w:r>
    </w:p>
    <w:p>
      <w:pPr>
        <w:pStyle w:val="ListBullet"/>
        <w:spacing w:after="80"/>
      </w:pPr>
      <w:r>
        <w:t>Diagnosed real integration failures, added resilience and regression tests.</w:t>
      </w:r>
    </w:p>
    <w:p>
      <w:pPr>
        <w:pStyle w:val="ListBullet"/>
        <w:spacing w:after="80"/>
      </w:pPr>
      <w:r>
        <w:t>Documented production gaps rather than presenting a prototype as fully production-ready.</w:t>
      </w:r>
    </w:p>
    <w:p>
      <w:pPr>
        <w:pStyle w:val="Heading1"/>
      </w:pPr>
      <w:r>
        <w:t>17. Glossary</w:t>
      </w:r>
    </w:p>
    <w:tbl>
      <w:tblPr>
        <w:tblW w:type="auto" w:w="0"/>
        <w:jc w:val="center"/>
        <w:tblLayout w:type="fixed"/>
        <w:tblLook w:firstColumn="1" w:firstRow="1" w:lastColumn="0" w:lastRow="0" w:noHBand="0" w:noVBand="1" w:val="04A0"/>
      </w:tblPr>
      <w:tblGrid>
        <w:gridCol w:w="4680"/>
        <w:gridCol w:w="4680"/>
      </w:tblGrid>
      <w:tr>
        <w:tc>
          <w:tcPr>
            <w:tcW w:type="dxa" w:w="2232"/>
            <w:vAlign w:val="center"/>
            <w:shd w:fill="0B2545"/>
          </w:tcPr>
          <w:p>
            <w:pPr>
              <w:spacing w:after="40"/>
            </w:pPr>
            <w:r/>
            <w:r>
              <w:rPr>
                <w:rFonts w:ascii="Calibri" w:hAnsi="Calibri"/>
                <w:b/>
                <w:color w:val="FFFFFF"/>
                <w:sz w:val="17"/>
              </w:rPr>
              <w:t>Term</w:t>
            </w:r>
          </w:p>
        </w:tc>
        <w:tc>
          <w:tcPr>
            <w:tcW w:type="dxa" w:w="7128"/>
            <w:vAlign w:val="center"/>
            <w:shd w:fill="0B2545"/>
          </w:tcPr>
          <w:p>
            <w:pPr>
              <w:spacing w:after="40"/>
            </w:pPr>
            <w:r/>
            <w:r>
              <w:rPr>
                <w:rFonts w:ascii="Calibri" w:hAnsi="Calibri"/>
                <w:b/>
                <w:color w:val="FFFFFF"/>
                <w:sz w:val="17"/>
              </w:rPr>
              <w:t>Plain-language meaning</w:t>
            </w:r>
          </w:p>
        </w:tc>
      </w:tr>
      <w:tr>
        <w:tc>
          <w:tcPr>
            <w:tcW w:type="dxa" w:w="2232"/>
            <w:vAlign w:val="center"/>
          </w:tcPr>
          <w:p>
            <w:pPr>
              <w:spacing w:after="40"/>
            </w:pPr>
            <w:r/>
            <w:r>
              <w:rPr>
                <w:rFonts w:ascii="Calibri" w:hAnsi="Calibri"/>
                <w:b w:val="0"/>
                <w:color w:val="0B2545"/>
                <w:sz w:val="17"/>
              </w:rPr>
              <w:t>RAG</w:t>
            </w:r>
          </w:p>
        </w:tc>
        <w:tc>
          <w:tcPr>
            <w:tcW w:type="dxa" w:w="7128"/>
            <w:vAlign w:val="center"/>
          </w:tcPr>
          <w:p>
            <w:pPr>
              <w:spacing w:after="40"/>
            </w:pPr>
            <w:r/>
            <w:r>
              <w:rPr>
                <w:rFonts w:ascii="Calibri" w:hAnsi="Calibri"/>
                <w:b w:val="0"/>
                <w:color w:val="0B2545"/>
                <w:sz w:val="17"/>
              </w:rPr>
              <w:t>Retrieve relevant evidence before generating an answer</w:t>
            </w:r>
          </w:p>
        </w:tc>
      </w:tr>
      <w:tr>
        <w:tc>
          <w:tcPr>
            <w:tcW w:type="dxa" w:w="2232"/>
            <w:vAlign w:val="center"/>
            <w:shd w:fill="F4F6F9"/>
          </w:tcPr>
          <w:p>
            <w:pPr>
              <w:spacing w:after="40"/>
            </w:pPr>
            <w:r/>
            <w:r>
              <w:rPr>
                <w:rFonts w:ascii="Calibri" w:hAnsi="Calibri"/>
                <w:b w:val="0"/>
                <w:color w:val="0B2545"/>
                <w:sz w:val="17"/>
              </w:rPr>
              <w:t>Mem0</w:t>
            </w:r>
          </w:p>
        </w:tc>
        <w:tc>
          <w:tcPr>
            <w:tcW w:type="dxa" w:w="7128"/>
            <w:vAlign w:val="center"/>
            <w:shd w:fill="F4F6F9"/>
          </w:tcPr>
          <w:p>
            <w:pPr>
              <w:spacing w:after="40"/>
            </w:pPr>
            <w:r/>
            <w:r>
              <w:rPr>
                <w:rFonts w:ascii="Calibri" w:hAnsi="Calibri"/>
                <w:b w:val="0"/>
                <w:color w:val="0B2545"/>
                <w:sz w:val="17"/>
              </w:rPr>
              <w:t>Memory orchestration library for extracting and recalling conversational facts</w:t>
            </w:r>
          </w:p>
        </w:tc>
      </w:tr>
      <w:tr>
        <w:tc>
          <w:tcPr>
            <w:tcW w:type="dxa" w:w="2232"/>
            <w:vAlign w:val="center"/>
          </w:tcPr>
          <w:p>
            <w:pPr>
              <w:spacing w:after="40"/>
            </w:pPr>
            <w:r/>
            <w:r>
              <w:rPr>
                <w:rFonts w:ascii="Calibri" w:hAnsi="Calibri"/>
                <w:b w:val="0"/>
                <w:color w:val="0B2545"/>
                <w:sz w:val="17"/>
              </w:rPr>
              <w:t>Embedding</w:t>
            </w:r>
          </w:p>
        </w:tc>
        <w:tc>
          <w:tcPr>
            <w:tcW w:type="dxa" w:w="7128"/>
            <w:vAlign w:val="center"/>
          </w:tcPr>
          <w:p>
            <w:pPr>
              <w:spacing w:after="40"/>
            </w:pPr>
            <w:r/>
            <w:r>
              <w:rPr>
                <w:rFonts w:ascii="Calibri" w:hAnsi="Calibri"/>
                <w:b w:val="0"/>
                <w:color w:val="0B2545"/>
                <w:sz w:val="17"/>
              </w:rPr>
              <w:t>Numeric representation that allows search by meaning</w:t>
            </w:r>
          </w:p>
        </w:tc>
      </w:tr>
      <w:tr>
        <w:tc>
          <w:tcPr>
            <w:tcW w:type="dxa" w:w="2232"/>
            <w:vAlign w:val="center"/>
            <w:shd w:fill="F4F6F9"/>
          </w:tcPr>
          <w:p>
            <w:pPr>
              <w:spacing w:after="40"/>
            </w:pPr>
            <w:r/>
            <w:r>
              <w:rPr>
                <w:rFonts w:ascii="Calibri" w:hAnsi="Calibri"/>
                <w:b w:val="0"/>
                <w:color w:val="0B2545"/>
                <w:sz w:val="17"/>
              </w:rPr>
              <w:t>Pinecone namespace</w:t>
            </w:r>
          </w:p>
        </w:tc>
        <w:tc>
          <w:tcPr>
            <w:tcW w:type="dxa" w:w="7128"/>
            <w:vAlign w:val="center"/>
            <w:shd w:fill="F4F6F9"/>
          </w:tcPr>
          <w:p>
            <w:pPr>
              <w:spacing w:after="40"/>
            </w:pPr>
            <w:r/>
            <w:r>
              <w:rPr>
                <w:rFonts w:ascii="Calibri" w:hAnsi="Calibri"/>
                <w:b w:val="0"/>
                <w:color w:val="0B2545"/>
                <w:sz w:val="17"/>
              </w:rPr>
              <w:t>Organization-isolated vector partition</w:t>
            </w:r>
          </w:p>
        </w:tc>
      </w:tr>
      <w:tr>
        <w:tc>
          <w:tcPr>
            <w:tcW w:type="dxa" w:w="2232"/>
            <w:vAlign w:val="center"/>
          </w:tcPr>
          <w:p>
            <w:pPr>
              <w:spacing w:after="40"/>
            </w:pPr>
            <w:r/>
            <w:r>
              <w:rPr>
                <w:rFonts w:ascii="Calibri" w:hAnsi="Calibri"/>
                <w:b w:val="0"/>
                <w:color w:val="0B2545"/>
                <w:sz w:val="17"/>
              </w:rPr>
              <w:t>Tenant</w:t>
            </w:r>
          </w:p>
        </w:tc>
        <w:tc>
          <w:tcPr>
            <w:tcW w:type="dxa" w:w="7128"/>
            <w:vAlign w:val="center"/>
          </w:tcPr>
          <w:p>
            <w:pPr>
              <w:spacing w:after="40"/>
            </w:pPr>
            <w:r/>
            <w:r>
              <w:rPr>
                <w:rFonts w:ascii="Calibri" w:hAnsi="Calibri"/>
                <w:b w:val="0"/>
                <w:color w:val="0B2545"/>
                <w:sz w:val="17"/>
              </w:rPr>
              <w:t>One organization using the shared platform</w:t>
            </w:r>
          </w:p>
        </w:tc>
      </w:tr>
      <w:tr>
        <w:tc>
          <w:tcPr>
            <w:tcW w:type="dxa" w:w="2232"/>
            <w:vAlign w:val="center"/>
            <w:shd w:fill="F4F6F9"/>
          </w:tcPr>
          <w:p>
            <w:pPr>
              <w:spacing w:after="40"/>
            </w:pPr>
            <w:r/>
            <w:r>
              <w:rPr>
                <w:rFonts w:ascii="Calibri" w:hAnsi="Calibri"/>
                <w:b w:val="0"/>
                <w:color w:val="0B2545"/>
                <w:sz w:val="17"/>
              </w:rPr>
              <w:t>Handoff</w:t>
            </w:r>
          </w:p>
        </w:tc>
        <w:tc>
          <w:tcPr>
            <w:tcW w:type="dxa" w:w="7128"/>
            <w:vAlign w:val="center"/>
            <w:shd w:fill="F4F6F9"/>
          </w:tcPr>
          <w:p>
            <w:pPr>
              <w:spacing w:after="40"/>
            </w:pPr>
            <w:r/>
            <w:r>
              <w:rPr>
                <w:rFonts w:ascii="Calibri" w:hAnsi="Calibri"/>
                <w:b w:val="0"/>
                <w:color w:val="0B2545"/>
                <w:sz w:val="17"/>
              </w:rPr>
              <w:t>Context transferred from bot to human agent</w:t>
            </w:r>
          </w:p>
        </w:tc>
      </w:tr>
      <w:tr>
        <w:tc>
          <w:tcPr>
            <w:tcW w:type="dxa" w:w="2232"/>
            <w:vAlign w:val="center"/>
          </w:tcPr>
          <w:p>
            <w:pPr>
              <w:spacing w:after="40"/>
            </w:pPr>
            <w:r/>
            <w:r>
              <w:rPr>
                <w:rFonts w:ascii="Calibri" w:hAnsi="Calibri"/>
                <w:b w:val="0"/>
                <w:color w:val="0B2545"/>
                <w:sz w:val="17"/>
              </w:rPr>
              <w:t>Knowledge gap</w:t>
            </w:r>
          </w:p>
        </w:tc>
        <w:tc>
          <w:tcPr>
            <w:tcW w:type="dxa" w:w="7128"/>
            <w:vAlign w:val="center"/>
          </w:tcPr>
          <w:p>
            <w:pPr>
              <w:spacing w:after="40"/>
            </w:pPr>
            <w:r/>
            <w:r>
              <w:rPr>
                <w:rFonts w:ascii="Calibri" w:hAnsi="Calibri"/>
                <w:b w:val="0"/>
                <w:color w:val="0B2545"/>
                <w:sz w:val="17"/>
              </w:rPr>
              <w:t>A question neither approved knowledge source could answer</w:t>
            </w:r>
          </w:p>
        </w:tc>
      </w:tr>
      <w:tr>
        <w:tc>
          <w:tcPr>
            <w:tcW w:type="dxa" w:w="2232"/>
            <w:vAlign w:val="center"/>
            <w:shd w:fill="F4F6F9"/>
          </w:tcPr>
          <w:p>
            <w:pPr>
              <w:spacing w:after="40"/>
            </w:pPr>
            <w:r/>
            <w:r>
              <w:rPr>
                <w:rFonts w:ascii="Calibri" w:hAnsi="Calibri"/>
                <w:b w:val="0"/>
                <w:color w:val="0B2545"/>
                <w:sz w:val="17"/>
              </w:rPr>
              <w:t>Outbox</w:t>
            </w:r>
          </w:p>
        </w:tc>
        <w:tc>
          <w:tcPr>
            <w:tcW w:type="dxa" w:w="7128"/>
            <w:vAlign w:val="center"/>
            <w:shd w:fill="F4F6F9"/>
          </w:tcPr>
          <w:p>
            <w:pPr>
              <w:spacing w:after="40"/>
            </w:pPr>
            <w:r/>
            <w:r>
              <w:rPr>
                <w:rFonts w:ascii="Calibri" w:hAnsi="Calibri"/>
                <w:b w:val="0"/>
                <w:color w:val="0B2545"/>
                <w:sz w:val="17"/>
              </w:rPr>
              <w:t>Reliable event pattern for synchronizing database changes with external services</w:t>
            </w:r>
          </w:p>
        </w:tc>
      </w:tr>
    </w:tbl>
    <w:p>
      <w:pPr>
        <w:spacing w:after="40"/>
      </w:pPr>
    </w:p>
    <w:p>
      <w:pPr>
        <w:pStyle w:val="Heading1"/>
      </w:pPr>
      <w:r>
        <w:t>Appendix A. Configuration Required</w:t>
      </w:r>
    </w:p>
    <w:tbl>
      <w:tblPr>
        <w:tblW w:type="auto" w:w="0"/>
        <w:jc w:val="center"/>
        <w:tblLayout w:type="fixed"/>
        <w:tblLook w:firstColumn="1" w:firstRow="1" w:lastColumn="0" w:lastRow="0" w:noHBand="0" w:noVBand="1" w:val="04A0"/>
      </w:tblPr>
      <w:tblGrid>
        <w:gridCol w:w="4680"/>
        <w:gridCol w:w="4680"/>
      </w:tblGrid>
      <w:tr>
        <w:tc>
          <w:tcPr>
            <w:tcW w:type="dxa" w:w="3240"/>
            <w:vAlign w:val="center"/>
            <w:shd w:fill="0B2545"/>
          </w:tcPr>
          <w:p>
            <w:pPr>
              <w:spacing w:after="40"/>
            </w:pPr>
            <w:r/>
            <w:r>
              <w:rPr>
                <w:rFonts w:ascii="Calibri" w:hAnsi="Calibri"/>
                <w:b/>
                <w:color w:val="FFFFFF"/>
                <w:sz w:val="17"/>
              </w:rPr>
              <w:t>Variable</w:t>
            </w:r>
          </w:p>
        </w:tc>
        <w:tc>
          <w:tcPr>
            <w:tcW w:type="dxa" w:w="6120"/>
            <w:vAlign w:val="center"/>
            <w:shd w:fill="0B2545"/>
          </w:tcPr>
          <w:p>
            <w:pPr>
              <w:spacing w:after="40"/>
            </w:pPr>
            <w:r/>
            <w:r>
              <w:rPr>
                <w:rFonts w:ascii="Calibri" w:hAnsi="Calibri"/>
                <w:b/>
                <w:color w:val="FFFFFF"/>
                <w:sz w:val="17"/>
              </w:rPr>
              <w:t>Purpose</w:t>
            </w:r>
          </w:p>
        </w:tc>
      </w:tr>
      <w:tr>
        <w:tc>
          <w:tcPr>
            <w:tcW w:type="dxa" w:w="3240"/>
            <w:vAlign w:val="center"/>
          </w:tcPr>
          <w:p>
            <w:pPr>
              <w:spacing w:after="40"/>
            </w:pPr>
            <w:r/>
            <w:r>
              <w:rPr>
                <w:rFonts w:ascii="Calibri" w:hAnsi="Calibri"/>
                <w:b w:val="0"/>
                <w:color w:val="0B2545"/>
                <w:sz w:val="17"/>
              </w:rPr>
              <w:t>SERVICE_API_KEY</w:t>
            </w:r>
          </w:p>
        </w:tc>
        <w:tc>
          <w:tcPr>
            <w:tcW w:type="dxa" w:w="6120"/>
            <w:vAlign w:val="center"/>
          </w:tcPr>
          <w:p>
            <w:pPr>
              <w:spacing w:after="40"/>
            </w:pPr>
            <w:r/>
            <w:r>
              <w:rPr>
                <w:rFonts w:ascii="Calibri" w:hAnsi="Calibri"/>
                <w:b w:val="0"/>
                <w:color w:val="0B2545"/>
                <w:sz w:val="17"/>
              </w:rPr>
              <w:t>Protect tool and memory routes</w:t>
            </w:r>
          </w:p>
        </w:tc>
      </w:tr>
      <w:tr>
        <w:tc>
          <w:tcPr>
            <w:tcW w:type="dxa" w:w="3240"/>
            <w:vAlign w:val="center"/>
            <w:shd w:fill="F4F6F9"/>
          </w:tcPr>
          <w:p>
            <w:pPr>
              <w:spacing w:after="40"/>
            </w:pPr>
            <w:r/>
            <w:r>
              <w:rPr>
                <w:rFonts w:ascii="Calibri" w:hAnsi="Calibri"/>
                <w:b w:val="0"/>
                <w:color w:val="0B2545"/>
                <w:sz w:val="17"/>
              </w:rPr>
              <w:t>MEMORY_BACKEND</w:t>
            </w:r>
          </w:p>
        </w:tc>
        <w:tc>
          <w:tcPr>
            <w:tcW w:type="dxa" w:w="6120"/>
            <w:vAlign w:val="center"/>
            <w:shd w:fill="F4F6F9"/>
          </w:tcPr>
          <w:p>
            <w:pPr>
              <w:spacing w:after="40"/>
            </w:pPr>
            <w:r/>
            <w:r>
              <w:rPr>
                <w:rFonts w:ascii="Calibri" w:hAnsi="Calibri"/>
                <w:b w:val="0"/>
                <w:color w:val="0B2545"/>
                <w:sz w:val="17"/>
              </w:rPr>
              <w:t>Select mem0-groq</w:t>
            </w:r>
          </w:p>
        </w:tc>
      </w:tr>
      <w:tr>
        <w:tc>
          <w:tcPr>
            <w:tcW w:type="dxa" w:w="3240"/>
            <w:vAlign w:val="center"/>
          </w:tcPr>
          <w:p>
            <w:pPr>
              <w:spacing w:after="40"/>
            </w:pPr>
            <w:r/>
            <w:r>
              <w:rPr>
                <w:rFonts w:ascii="Calibri" w:hAnsi="Calibri"/>
                <w:b w:val="0"/>
                <w:color w:val="0B2545"/>
                <w:sz w:val="17"/>
              </w:rPr>
              <w:t>PINECONE_API_KEY</w:t>
            </w:r>
          </w:p>
        </w:tc>
        <w:tc>
          <w:tcPr>
            <w:tcW w:type="dxa" w:w="6120"/>
            <w:vAlign w:val="center"/>
          </w:tcPr>
          <w:p>
            <w:pPr>
              <w:spacing w:after="40"/>
            </w:pPr>
            <w:r/>
            <w:r>
              <w:rPr>
                <w:rFonts w:ascii="Calibri" w:hAnsi="Calibri"/>
                <w:b w:val="0"/>
                <w:color w:val="0B2545"/>
                <w:sz w:val="17"/>
              </w:rPr>
              <w:t>Authenticate vector storage</w:t>
            </w:r>
          </w:p>
        </w:tc>
      </w:tr>
      <w:tr>
        <w:tc>
          <w:tcPr>
            <w:tcW w:type="dxa" w:w="3240"/>
            <w:vAlign w:val="center"/>
            <w:shd w:fill="F4F6F9"/>
          </w:tcPr>
          <w:p>
            <w:pPr>
              <w:spacing w:after="40"/>
            </w:pPr>
            <w:r/>
            <w:r>
              <w:rPr>
                <w:rFonts w:ascii="Calibri" w:hAnsi="Calibri"/>
                <w:b w:val="0"/>
                <w:color w:val="0B2545"/>
                <w:sz w:val="17"/>
              </w:rPr>
              <w:t>MEM0_PINECONE_INDEX</w:t>
            </w:r>
          </w:p>
        </w:tc>
        <w:tc>
          <w:tcPr>
            <w:tcW w:type="dxa" w:w="6120"/>
            <w:vAlign w:val="center"/>
            <w:shd w:fill="F4F6F9"/>
          </w:tcPr>
          <w:p>
            <w:pPr>
              <w:spacing w:after="40"/>
            </w:pPr>
            <w:r/>
            <w:r>
              <w:rPr>
                <w:rFonts w:ascii="Calibri" w:hAnsi="Calibri"/>
                <w:b w:val="0"/>
                <w:color w:val="0B2545"/>
                <w:sz w:val="17"/>
              </w:rPr>
              <w:t>Select index</w:t>
            </w:r>
          </w:p>
        </w:tc>
      </w:tr>
      <w:tr>
        <w:tc>
          <w:tcPr>
            <w:tcW w:type="dxa" w:w="3240"/>
            <w:vAlign w:val="center"/>
          </w:tcPr>
          <w:p>
            <w:pPr>
              <w:spacing w:after="40"/>
            </w:pPr>
            <w:r/>
            <w:r>
              <w:rPr>
                <w:rFonts w:ascii="Calibri" w:hAnsi="Calibri"/>
                <w:b w:val="0"/>
                <w:color w:val="0B2545"/>
                <w:sz w:val="17"/>
              </w:rPr>
              <w:t>GROQ_MEMORY_API_KEY</w:t>
            </w:r>
          </w:p>
        </w:tc>
        <w:tc>
          <w:tcPr>
            <w:tcW w:type="dxa" w:w="6120"/>
            <w:vAlign w:val="center"/>
          </w:tcPr>
          <w:p>
            <w:pPr>
              <w:spacing w:after="40"/>
            </w:pPr>
            <w:r/>
            <w:r>
              <w:rPr>
                <w:rFonts w:ascii="Calibri" w:hAnsi="Calibri"/>
                <w:b w:val="0"/>
                <w:color w:val="0B2545"/>
                <w:sz w:val="17"/>
              </w:rPr>
              <w:t>Mem0 extraction</w:t>
            </w:r>
          </w:p>
        </w:tc>
      </w:tr>
      <w:tr>
        <w:tc>
          <w:tcPr>
            <w:tcW w:type="dxa" w:w="3240"/>
            <w:vAlign w:val="center"/>
            <w:shd w:fill="F4F6F9"/>
          </w:tcPr>
          <w:p>
            <w:pPr>
              <w:spacing w:after="40"/>
            </w:pPr>
            <w:r/>
            <w:r>
              <w:rPr>
                <w:rFonts w:ascii="Calibri" w:hAnsi="Calibri"/>
                <w:b w:val="0"/>
                <w:color w:val="0B2545"/>
                <w:sz w:val="17"/>
              </w:rPr>
              <w:t>GROQ_SUMMARY_API_KEY</w:t>
            </w:r>
          </w:p>
        </w:tc>
        <w:tc>
          <w:tcPr>
            <w:tcW w:type="dxa" w:w="6120"/>
            <w:vAlign w:val="center"/>
            <w:shd w:fill="F4F6F9"/>
          </w:tcPr>
          <w:p>
            <w:pPr>
              <w:spacing w:after="40"/>
            </w:pPr>
            <w:r/>
            <w:r>
              <w:rPr>
                <w:rFonts w:ascii="Calibri" w:hAnsi="Calibri"/>
                <w:b w:val="0"/>
                <w:color w:val="0B2545"/>
                <w:sz w:val="17"/>
              </w:rPr>
              <w:t>Session summaries and welcomes</w:t>
            </w:r>
          </w:p>
        </w:tc>
      </w:tr>
      <w:tr>
        <w:tc>
          <w:tcPr>
            <w:tcW w:type="dxa" w:w="3240"/>
            <w:vAlign w:val="center"/>
          </w:tcPr>
          <w:p>
            <w:pPr>
              <w:spacing w:after="40"/>
            </w:pPr>
            <w:r/>
            <w:r>
              <w:rPr>
                <w:rFonts w:ascii="Calibri" w:hAnsi="Calibri"/>
                <w:b w:val="0"/>
                <w:color w:val="0B2545"/>
                <w:sz w:val="17"/>
              </w:rPr>
              <w:t>GROQ_KNOWLEDGE_API_KEY</w:t>
            </w:r>
          </w:p>
        </w:tc>
        <w:tc>
          <w:tcPr>
            <w:tcW w:type="dxa" w:w="6120"/>
            <w:vAlign w:val="center"/>
          </w:tcPr>
          <w:p>
            <w:pPr>
              <w:spacing w:after="40"/>
            </w:pPr>
            <w:r/>
            <w:r>
              <w:rPr>
                <w:rFonts w:ascii="Calibri" w:hAnsi="Calibri"/>
                <w:b w:val="0"/>
                <w:color w:val="0B2545"/>
                <w:sz w:val="17"/>
              </w:rPr>
              <w:t>Knowledge curation and tone</w:t>
            </w:r>
          </w:p>
        </w:tc>
      </w:tr>
      <w:tr>
        <w:tc>
          <w:tcPr>
            <w:tcW w:type="dxa" w:w="3240"/>
            <w:vAlign w:val="center"/>
            <w:shd w:fill="F4F6F9"/>
          </w:tcPr>
          <w:p>
            <w:pPr>
              <w:spacing w:after="40"/>
            </w:pPr>
            <w:r/>
            <w:r>
              <w:rPr>
                <w:rFonts w:ascii="Calibri" w:hAnsi="Calibri"/>
                <w:b w:val="0"/>
                <w:color w:val="0B2545"/>
                <w:sz w:val="17"/>
              </w:rPr>
              <w:t>OLLAMA_BASE_URL</w:t>
            </w:r>
          </w:p>
        </w:tc>
        <w:tc>
          <w:tcPr>
            <w:tcW w:type="dxa" w:w="6120"/>
            <w:vAlign w:val="center"/>
            <w:shd w:fill="F4F6F9"/>
          </w:tcPr>
          <w:p>
            <w:pPr>
              <w:spacing w:after="40"/>
            </w:pPr>
            <w:r/>
            <w:r>
              <w:rPr>
                <w:rFonts w:ascii="Calibri" w:hAnsi="Calibri"/>
                <w:b w:val="0"/>
                <w:color w:val="0B2545"/>
                <w:sz w:val="17"/>
              </w:rPr>
              <w:t>Local embeddings</w:t>
            </w:r>
          </w:p>
        </w:tc>
      </w:tr>
      <w:tr>
        <w:tc>
          <w:tcPr>
            <w:tcW w:type="dxa" w:w="3240"/>
            <w:vAlign w:val="center"/>
          </w:tcPr>
          <w:p>
            <w:pPr>
              <w:spacing w:after="40"/>
            </w:pPr>
            <w:r/>
            <w:r>
              <w:rPr>
                <w:rFonts w:ascii="Calibri" w:hAnsi="Calibri"/>
                <w:b w:val="0"/>
                <w:color w:val="0B2545"/>
                <w:sz w:val="17"/>
              </w:rPr>
              <w:t>MEM0_LOCAL_EMBEDDING_MODEL</w:t>
            </w:r>
          </w:p>
        </w:tc>
        <w:tc>
          <w:tcPr>
            <w:tcW w:type="dxa" w:w="6120"/>
            <w:vAlign w:val="center"/>
          </w:tcPr>
          <w:p>
            <w:pPr>
              <w:spacing w:after="40"/>
            </w:pPr>
            <w:r/>
            <w:r>
              <w:rPr>
                <w:rFonts w:ascii="Calibri" w:hAnsi="Calibri"/>
                <w:b w:val="0"/>
                <w:color w:val="0B2545"/>
                <w:sz w:val="17"/>
              </w:rPr>
              <w:t>nomic-embed-text:latest</w:t>
            </w:r>
          </w:p>
        </w:tc>
      </w:tr>
      <w:tr>
        <w:tc>
          <w:tcPr>
            <w:tcW w:type="dxa" w:w="3240"/>
            <w:vAlign w:val="center"/>
            <w:shd w:fill="F4F6F9"/>
          </w:tcPr>
          <w:p>
            <w:pPr>
              <w:spacing w:after="40"/>
            </w:pPr>
            <w:r/>
            <w:r>
              <w:rPr>
                <w:rFonts w:ascii="Calibri" w:hAnsi="Calibri"/>
                <w:b w:val="0"/>
                <w:color w:val="0B2545"/>
                <w:sz w:val="17"/>
              </w:rPr>
              <w:t>ANALYTICS_DB_PATH</w:t>
            </w:r>
          </w:p>
        </w:tc>
        <w:tc>
          <w:tcPr>
            <w:tcW w:type="dxa" w:w="6120"/>
            <w:vAlign w:val="center"/>
            <w:shd w:fill="F4F6F9"/>
          </w:tcPr>
          <w:p>
            <w:pPr>
              <w:spacing w:after="40"/>
            </w:pPr>
            <w:r/>
            <w:r>
              <w:rPr>
                <w:rFonts w:ascii="Calibri" w:hAnsi="Calibri"/>
                <w:b w:val="0"/>
                <w:color w:val="0B2545"/>
                <w:sz w:val="17"/>
              </w:rPr>
              <w:t>Structured demo database</w:t>
            </w:r>
          </w:p>
        </w:tc>
      </w:tr>
    </w:tbl>
    <w:p>
      <w:pPr>
        <w:spacing w:after="40"/>
      </w:pPr>
    </w:p>
    <w:p>
      <w:r>
        <w:t>No real credential value is included in this report.</w:t>
      </w:r>
    </w:p>
    <w:p>
      <w:pPr>
        <w:pStyle w:val="Heading1"/>
      </w:pPr>
      <w:r>
        <w:t>Appendix B. Main Demo URLs</w:t>
      </w:r>
    </w:p>
    <w:p>
      <w:pPr>
        <w:pStyle w:val="ListBullet"/>
        <w:spacing w:after="80"/>
      </w:pPr>
      <w:r>
        <w:t>Customer chat and handoff: http://127.0.0.1:8765/custom</w:t>
      </w:r>
    </w:p>
    <w:p>
      <w:pPr>
        <w:pStyle w:val="ListBullet"/>
        <w:spacing w:after="80"/>
      </w:pPr>
      <w:r>
        <w:t>Human-agent knowledge: http://127.0.0.1:8765/knowledge</w:t>
      </w:r>
    </w:p>
    <w:p>
      <w:pPr>
        <w:pStyle w:val="ListBullet"/>
        <w:spacing w:after="80"/>
      </w:pPr>
      <w:r>
        <w:t>Organization analytics: http://127.0.0.1:8765/dashboard</w:t>
      </w:r>
    </w:p>
    <w:p>
      <w:pPr>
        <w:pStyle w:val="ListBullet"/>
        <w:spacing w:after="80"/>
      </w:pPr>
      <w:r>
        <w:t>Tool catalog: http://127.0.0.1:8765/tools</w:t>
      </w:r>
    </w:p>
    <w:p>
      <w:pPr>
        <w:pStyle w:val="ListBullet"/>
        <w:spacing w:after="80"/>
      </w:pPr>
      <w:r>
        <w:t>Health: http://127.0.0.1:8765/api/health</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Internship final report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5B6472"/>
        <w:sz w:val="16"/>
      </w:rPr>
      <w:t>QUICKTALK  /  ORGANIZATIONAL MEMORY PLATFORM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0B254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563EB"/>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563EB"/>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0F766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0B2545"/>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40"/>
    </w:pPr>
    <w:rPr>
      <w:rFonts w:asciiTheme="majorHAnsi" w:eastAsiaTheme="majorEastAsia" w:hAnsiTheme="majorHAnsi" w:cstheme="majorBidi" w:ascii="Calibri" w:hAnsi="Calibri"/>
      <w:b w:val="0"/>
      <w:i/>
      <w:iCs/>
      <w:color w:val="5B6472"/>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QuickTalk Organizational Memory Platform - Internship Final Report</dc:title>
  <dc:subject>Architecture, tools, testing, demo and production roadmap</dc:subject>
  <dc:creator>QuickTalk Internship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