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 xml:space="preserve">Table 6. Sensitivity of model performance to random seed and minimum-fire-size threshold. </w:t>
      </w:r>
      <w:r>
        <w:t>Values are mean ± SD of cross-validated out-of-fold (CV-OOF) and final-holdout area under the ROC and precision-recall curves over the indicated number of runs. Random-seed sensitivity (Comment 11) was evaluated using ten random seeds at the primary ≥70 ha threshold (n = 10); threshold sensitivity (Comment 8) used the canonical seed (42) at ≥100 ha and ≥200 ha (n = 1 per cell). PSO denotes particle-swarm-optimised hyper-parameter and feature selection. For the non-PSO baselines (LSTM, BiLSTM), holdout metrics equal the CV-OOF metrics because the headless trainer used CV-OOF as the holdout estimator. The single highest CV-OOF ROC-AUC across the full 48-run grid was BiLSTM-PSO at the ≥70 ha threshold with seed 42 (0.9040), and this configuration was used to generate the BC-wide susceptibility map (Figure 4).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shd w:val="clear" w:color="auto" w:fill="E6E6E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Model</w:t>
            </w:r>
          </w:p>
        </w:tc>
        <w:tc>
          <w:tcPr>
            <w:tcW w:type="dxa" w:w="1337"/>
            <w:vAlign w:val="center"/>
            <w:shd w:val="clear" w:color="auto" w:fill="E6E6E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Threshold (ha)</w:t>
            </w:r>
          </w:p>
        </w:tc>
        <w:tc>
          <w:tcPr>
            <w:tcW w:type="dxa" w:w="1337"/>
            <w:vAlign w:val="center"/>
            <w:shd w:val="clear" w:color="auto" w:fill="E6E6E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1337"/>
            <w:vAlign w:val="center"/>
            <w:shd w:val="clear" w:color="auto" w:fill="E6E6E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CV-OOF ROC-AUC</w:t>
            </w:r>
          </w:p>
        </w:tc>
        <w:tc>
          <w:tcPr>
            <w:tcW w:type="dxa" w:w="1337"/>
            <w:vAlign w:val="center"/>
            <w:shd w:val="clear" w:color="auto" w:fill="E6E6E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CV-OOF PR-AUC</w:t>
            </w:r>
          </w:p>
        </w:tc>
        <w:tc>
          <w:tcPr>
            <w:tcW w:type="dxa" w:w="1337"/>
            <w:vAlign w:val="center"/>
            <w:shd w:val="clear" w:color="auto" w:fill="E6E6E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Holdout ROC-AUC</w:t>
            </w:r>
          </w:p>
        </w:tc>
        <w:tc>
          <w:tcPr>
            <w:tcW w:type="dxa" w:w="1337"/>
            <w:vAlign w:val="center"/>
            <w:shd w:val="clear" w:color="auto" w:fill="E6E6E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Holdout PR-AUC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LSTM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≥70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0.8415 ± 0.0053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0.8400 ± 0.0040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0.8415 ± 0.0053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0.8400 ± 0.0040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LSTM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≥100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0.8471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0.8479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0.8471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0.8479</w:t>
            </w:r>
          </w:p>
        </w:tc>
      </w:tr>
      <w:tr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20"/>
              </w:rPr>
              <w:t>LSTM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≥200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0.8281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0.8276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0.8281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0.8276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LSTM-PSO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≥70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0.8977 ± 0.0022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0.8896 ± 0.0040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0.9090 ± 0.0053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0.9087 ± 0.0071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LSTM-PSO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≥100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0.8894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0.8746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0.9066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0.9027</w:t>
            </w:r>
          </w:p>
        </w:tc>
      </w:tr>
      <w:tr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20"/>
              </w:rPr>
              <w:t>LSTM-PSO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≥200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0.8831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0.8684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0.9239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0.9146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BiLSTM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≥70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0.8639 ± 0.0052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0.8578 ± 0.0049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0.8639 ± 0.0052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0.8578 ± 0.0049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BiLSTM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≥100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0.8551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0.8522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0.8551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0.8522</w:t>
            </w:r>
          </w:p>
        </w:tc>
      </w:tr>
      <w:tr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20"/>
              </w:rPr>
              <w:t>BiLSTM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≥200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0.8282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0.8310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0.8282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0.8310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BiLSTM-PSO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≥70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10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0.8980 ± 0.0034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0.8901 ± 0.0050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0.9088 ± 0.0045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0.9087 ± 0.0058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BiLSTM-PSO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≥100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0.8920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0.8805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0.9010</w:t>
            </w:r>
          </w:p>
        </w:tc>
        <w:tc>
          <w:tcPr>
            <w:tcW w:type="dxa" w:w="1337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0.8976</w:t>
            </w:r>
          </w:p>
        </w:tc>
      </w:tr>
      <w:tr>
        <w:tc>
          <w:tcPr>
            <w:tcW w:type="dxa" w:w="1337"/>
            <w:vAlign w:val="center"/>
            <w:tcBorders>
              <w:bottom w:val="single" w:sz="4" w:space="0" w:color="000000"/>
            </w:tcBorders>
            <w:tcBorders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sz w:val="20"/>
              </w:rPr>
              <w:t>BiLSTM-PSO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≥200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0.8867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0.8697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0.9204</w:t>
            </w:r>
          </w:p>
        </w:tc>
        <w:tc>
          <w:tcPr>
            <w:tcW w:type="dxa" w:w="1337"/>
            <w:vAlign w:val="center"/>
            <w:tcBorders>
              <w:bottom w:val="single" w:sz="4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0.9143</w:t>
            </w:r>
          </w:p>
        </w:tc>
      </w:tr>
    </w:tbl>
    <w:p/>
    <w:p>
      <w:r>
        <w:rPr>
          <w:i/>
          <w:sz w:val="20"/>
        </w:rPr>
        <w:t xml:space="preserve">Note. </w:t>
      </w:r>
      <w:r>
        <w:rPr>
          <w:sz w:val="20"/>
        </w:rPr>
        <w:t>Across-seed standard deviations of CV-OOF ROC-AUC at ≥70 ha were ≤0.005 for all four architectures (LSTM 0.005, BiLSTM 0.005, LSTM-PSO 0.002, BiLSTM-PSO 0.003), confirming that performance is essentially invariant to the random initialisation seed across the canonical ten-seed sweep. The mean ROC-AUC gain of PSO over its non-PSO counterpart was +5.6 percentage points for LSTM (0.842 → 0.898) and +3.4 percentage points for BiLSTM (0.867 → 0.901). Performance at the stricter ≥100 ha and ≥200 ha thresholds declined modestly for the non-PSO baselines (≤1.6 percentage points at ≥100 ha; ≤3.6 percentage points at ≥200 ha) but the PSO variants retained ROC-AUC &gt;0.88 at all three thresholds, demonstrating threshold robustness.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