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22"/>
        </w:rPr>
        <w:t xml:space="preserve">Supplementary Table S2. Transcriptomic datasets analysed.</w:t>
      </w:r>
    </w:p>
    <w:p>
      <w:pPr>
        <w:spacing w:after="120"/>
      </w:pPr>
      <w:r>
        <w:rPr/>
        <w:t xml:space="preserve">All six datasets were obtained from the NCBI Gene Expression Omnibus and analysed with limma via GEO2R. Sample counts and group composition are those recorded in the GEO series records. A uniform effect-size criterion of |log2 fold change| ≥ 0.585 (1.5-fold) was applied throughout; the significance criterion differs by dataset because no atopic dermatitis or SLS-ICD gene satisfies both the fold-change criterion and an FDR-adjusted P &lt; 0.05, as set out in Supplementary Data S1. “Features in the expression table” is the number of rows in the differential-expression output analysed for that dataset. Up- and downregulated counts are the unique gene symbols with positive and negative log2 fold change respectively. Gene symbols in the resulting lists reflect the platform annotation available at the time of analysis. For GSE168735, which contains several chemical exposures, the comparison analysed was SLS-exposed versus untreated control skin; this is confirmed by the archived differential-expression output, whose moderated-t total degrees of freedom (19.69) are consistent with 11 versus 8 samples and incompatible with the 36-sample vehicle group.</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900" w:type="dxa"/>
          </w:tcPr>
          <w:p>
            <w:pPr>
              <w:spacing w:after="20"/>
            </w:pPr>
            <w:r>
              <w:rPr>
                <w:b/>
                <w:sz w:val="16"/>
              </w:rPr>
              <w:t xml:space="preserve">Condition</w:t>
            </w:r>
          </w:p>
        </w:tc>
        <w:tc>
          <w:tcPr>
            <w:tcW w:w="1000" w:type="dxa"/>
          </w:tcPr>
          <w:p>
            <w:pPr>
              <w:spacing w:after="20"/>
            </w:pPr>
            <w:r>
              <w:rPr>
                <w:b/>
                <w:sz w:val="16"/>
              </w:rPr>
              <w:t xml:space="preserve">GEO accession</w:t>
            </w:r>
          </w:p>
        </w:tc>
        <w:tc>
          <w:tcPr>
            <w:tcW w:w="1700" w:type="dxa"/>
          </w:tcPr>
          <w:p>
            <w:pPr>
              <w:spacing w:after="20"/>
            </w:pPr>
            <w:r>
              <w:rPr>
                <w:b/>
                <w:sz w:val="16"/>
              </w:rPr>
              <w:t xml:space="preserve">Platform</w:t>
            </w:r>
          </w:p>
        </w:tc>
        <w:tc>
          <w:tcPr>
            <w:tcW w:w="800" w:type="dxa"/>
          </w:tcPr>
          <w:p>
            <w:pPr>
              <w:spacing w:after="20"/>
            </w:pPr>
            <w:r>
              <w:rPr>
                <w:b/>
                <w:sz w:val="16"/>
              </w:rPr>
              <w:t xml:space="preserve">Samples in series</w:t>
            </w:r>
          </w:p>
        </w:tc>
        <w:tc>
          <w:tcPr>
            <w:tcW w:w="2100" w:type="dxa"/>
          </w:tcPr>
          <w:p>
            <w:pPr>
              <w:spacing w:after="20"/>
            </w:pPr>
            <w:r>
              <w:rPr>
                <w:b/>
                <w:sz w:val="16"/>
              </w:rPr>
              <w:t xml:space="preserve">Sample groups in series</w:t>
            </w:r>
          </w:p>
        </w:tc>
        <w:tc>
          <w:tcPr>
            <w:tcW w:w="1500" w:type="dxa"/>
          </w:tcPr>
          <w:p>
            <w:pPr>
              <w:spacing w:after="20"/>
            </w:pPr>
            <w:r>
              <w:rPr>
                <w:b/>
                <w:sz w:val="16"/>
              </w:rPr>
              <w:t xml:space="preserve">Contrast analysed</w:t>
            </w:r>
          </w:p>
        </w:tc>
        <w:tc>
          <w:tcPr>
            <w:tcW w:w="1500" w:type="dxa"/>
          </w:tcPr>
          <w:p>
            <w:pPr>
              <w:spacing w:after="20"/>
            </w:pPr>
            <w:r>
              <w:rPr>
                <w:b/>
                <w:sz w:val="16"/>
              </w:rPr>
              <w:t xml:space="preserve">Significance criterion</w:t>
            </w:r>
          </w:p>
        </w:tc>
        <w:tc>
          <w:tcPr>
            <w:tcW w:w="1100" w:type="dxa"/>
          </w:tcPr>
          <w:p>
            <w:pPr>
              <w:spacing w:after="20"/>
            </w:pPr>
            <w:r>
              <w:rPr>
                <w:b/>
                <w:sz w:val="16"/>
              </w:rPr>
              <w:t xml:space="preserve">Features in the expression table</w:t>
            </w:r>
          </w:p>
        </w:tc>
        <w:tc>
          <w:tcPr>
            <w:tcW w:w="900" w:type="dxa"/>
          </w:tcPr>
          <w:p>
            <w:pPr>
              <w:spacing w:after="20"/>
            </w:pPr>
            <w:r>
              <w:rPr>
                <w:b/>
                <w:sz w:val="16"/>
              </w:rPr>
              <w:t xml:space="preserve">DEGs (unique symbols)</w:t>
            </w:r>
          </w:p>
        </w:tc>
        <w:tc>
          <w:tcPr>
            <w:tcW w:w="800" w:type="dxa"/>
          </w:tcPr>
          <w:p>
            <w:pPr>
              <w:spacing w:after="20"/>
            </w:pPr>
            <w:r>
              <w:rPr>
                <w:b/>
                <w:sz w:val="16"/>
              </w:rPr>
              <w:t xml:space="preserve">Upregulated</w:t>
            </w:r>
          </w:p>
        </w:tc>
        <w:tc>
          <w:tcPr>
            <w:tcW w:w="900" w:type="dxa"/>
          </w:tcPr>
          <w:p>
            <w:pPr>
              <w:spacing w:after="20"/>
            </w:pPr>
            <w:r>
              <w:rPr>
                <w:b/>
                <w:sz w:val="16"/>
              </w:rPr>
              <w:t xml:space="preserve">Downregulated</w:t>
            </w:r>
          </w:p>
        </w:tc>
      </w:tr>
      <w:tr>
        <w:tc>
          <w:tcPr>
            <w:tcW w:w="900" w:type="dxa"/>
          </w:tcPr>
          <w:p>
            <w:pPr>
              <w:spacing w:after="20"/>
            </w:pPr>
            <w:r>
              <w:rPr>
                <w:sz w:val="16"/>
              </w:rPr>
              <w:t xml:space="preserve">Psoriasis (PS)</w:t>
            </w:r>
          </w:p>
        </w:tc>
        <w:tc>
          <w:tcPr>
            <w:tcW w:w="1000" w:type="dxa"/>
          </w:tcPr>
          <w:p>
            <w:pPr>
              <w:spacing w:after="20"/>
            </w:pPr>
            <w:r>
              <w:rPr>
                <w:sz w:val="16"/>
              </w:rPr>
              <w:t xml:space="preserve">GSE30999</w:t>
            </w:r>
          </w:p>
        </w:tc>
        <w:tc>
          <w:tcPr>
            <w:tcW w:w="1700" w:type="dxa"/>
          </w:tcPr>
          <w:p>
            <w:pPr>
              <w:spacing w:after="20"/>
            </w:pPr>
            <w:r>
              <w:rPr>
                <w:sz w:val="16"/>
              </w:rPr>
              <w:t xml:space="preserve">GPL570, Affymetrix HG-U133 Plus 2.0</w:t>
            </w:r>
          </w:p>
        </w:tc>
        <w:tc>
          <w:tcPr>
            <w:tcW w:w="800" w:type="dxa"/>
          </w:tcPr>
          <w:p>
            <w:pPr>
              <w:spacing w:after="20"/>
            </w:pPr>
            <w:r>
              <w:rPr>
                <w:sz w:val="16"/>
              </w:rPr>
              <w:t xml:space="preserve">170</w:t>
            </w:r>
          </w:p>
        </w:tc>
        <w:tc>
          <w:tcPr>
            <w:tcW w:w="2100" w:type="dxa"/>
          </w:tcPr>
          <w:p>
            <w:pPr>
              <w:spacing w:after="20"/>
            </w:pPr>
            <w:r>
              <w:rPr>
                <w:sz w:val="16"/>
              </w:rPr>
              <w:t xml:space="preserve">85 lesional, 85 non-lesional</w:t>
            </w:r>
          </w:p>
        </w:tc>
        <w:tc>
          <w:tcPr>
            <w:tcW w:w="1500" w:type="dxa"/>
          </w:tcPr>
          <w:p>
            <w:pPr>
              <w:spacing w:after="20"/>
            </w:pPr>
            <w:r>
              <w:rPr>
                <w:sz w:val="16"/>
              </w:rPr>
              <w:t xml:space="preserve">Lesional vs non-lesional (85 vs 85)</w:t>
            </w:r>
          </w:p>
        </w:tc>
        <w:tc>
          <w:tcPr>
            <w:tcW w:w="1500" w:type="dxa"/>
          </w:tcPr>
          <w:p>
            <w:pPr>
              <w:spacing w:after="20"/>
            </w:pPr>
            <w:r>
              <w:rPr>
                <w:sz w:val="16"/>
              </w:rPr>
              <w:t xml:space="preserve">Nominal P &lt; 0.05</w:t>
            </w:r>
          </w:p>
        </w:tc>
        <w:tc>
          <w:tcPr>
            <w:tcW w:w="1100" w:type="dxa"/>
          </w:tcPr>
          <w:p>
            <w:pPr>
              <w:spacing w:after="20"/>
            </w:pPr>
            <w:r>
              <w:rPr>
                <w:sz w:val="16"/>
              </w:rPr>
              <w:t xml:space="preserve">54,675</w:t>
            </w:r>
          </w:p>
        </w:tc>
        <w:tc>
          <w:tcPr>
            <w:tcW w:w="900" w:type="dxa"/>
          </w:tcPr>
          <w:p>
            <w:pPr>
              <w:spacing w:after="20"/>
            </w:pPr>
            <w:r>
              <w:rPr>
                <w:sz w:val="16"/>
              </w:rPr>
              <w:t xml:space="preserve">6,522</w:t>
            </w:r>
          </w:p>
        </w:tc>
        <w:tc>
          <w:tcPr>
            <w:tcW w:w="800" w:type="dxa"/>
          </w:tcPr>
          <w:p>
            <w:pPr>
              <w:spacing w:after="20"/>
            </w:pPr>
            <w:r>
              <w:rPr>
                <w:sz w:val="16"/>
              </w:rPr>
              <w:t xml:space="preserve">3,499</w:t>
            </w:r>
          </w:p>
        </w:tc>
        <w:tc>
          <w:tcPr>
            <w:tcW w:w="900" w:type="dxa"/>
          </w:tcPr>
          <w:p>
            <w:pPr>
              <w:spacing w:after="20"/>
            </w:pPr>
            <w:r>
              <w:rPr>
                <w:sz w:val="16"/>
              </w:rPr>
              <w:t xml:space="preserve">3,023</w:t>
            </w:r>
          </w:p>
        </w:tc>
      </w:tr>
      <w:tr>
        <w:tc>
          <w:tcPr>
            <w:tcW w:w="900" w:type="dxa"/>
          </w:tcPr>
          <w:p>
            <w:pPr>
              <w:spacing w:after="20"/>
            </w:pPr>
            <w:r>
              <w:rPr>
                <w:sz w:val="16"/>
              </w:rPr>
              <w:t xml:space="preserve">Atopic dermatitis (AD)</w:t>
            </w:r>
          </w:p>
        </w:tc>
        <w:tc>
          <w:tcPr>
            <w:tcW w:w="1000" w:type="dxa"/>
          </w:tcPr>
          <w:p>
            <w:pPr>
              <w:spacing w:after="20"/>
            </w:pPr>
            <w:r>
              <w:rPr>
                <w:sz w:val="16"/>
              </w:rPr>
              <w:t xml:space="preserve">GSE32924</w:t>
            </w:r>
          </w:p>
        </w:tc>
        <w:tc>
          <w:tcPr>
            <w:tcW w:w="1700" w:type="dxa"/>
          </w:tcPr>
          <w:p>
            <w:pPr>
              <w:spacing w:after="20"/>
            </w:pPr>
            <w:r>
              <w:rPr>
                <w:sz w:val="16"/>
              </w:rPr>
              <w:t xml:space="preserve">GPL570, Affymetrix HG-U133 Plus 2.0</w:t>
            </w:r>
          </w:p>
        </w:tc>
        <w:tc>
          <w:tcPr>
            <w:tcW w:w="800" w:type="dxa"/>
          </w:tcPr>
          <w:p>
            <w:pPr>
              <w:spacing w:after="20"/>
            </w:pPr>
            <w:r>
              <w:rPr>
                <w:sz w:val="16"/>
              </w:rPr>
              <w:t xml:space="preserve">33</w:t>
            </w:r>
          </w:p>
        </w:tc>
        <w:tc>
          <w:tcPr>
            <w:tcW w:w="2100" w:type="dxa"/>
          </w:tcPr>
          <w:p>
            <w:pPr>
              <w:spacing w:after="20"/>
            </w:pPr>
            <w:r>
              <w:rPr>
                <w:sz w:val="16"/>
              </w:rPr>
              <w:t xml:space="preserve">13 lesional, 12 non-lesional, 8 normal</w:t>
            </w:r>
          </w:p>
        </w:tc>
        <w:tc>
          <w:tcPr>
            <w:tcW w:w="1500" w:type="dxa"/>
          </w:tcPr>
          <w:p>
            <w:pPr>
              <w:spacing w:after="20"/>
            </w:pPr>
            <w:r>
              <w:rPr>
                <w:sz w:val="16"/>
              </w:rPr>
              <w:t xml:space="preserve">Lesional vs non-lesional (13 vs 12)</w:t>
            </w:r>
          </w:p>
        </w:tc>
        <w:tc>
          <w:tcPr>
            <w:tcW w:w="1500" w:type="dxa"/>
          </w:tcPr>
          <w:p>
            <w:pPr>
              <w:spacing w:after="20"/>
            </w:pPr>
            <w:r>
              <w:rPr>
                <w:sz w:val="16"/>
              </w:rPr>
              <w:t xml:space="preserve">Nominal P &lt; 0.05</w:t>
            </w:r>
          </w:p>
        </w:tc>
        <w:tc>
          <w:tcPr>
            <w:tcW w:w="1100" w:type="dxa"/>
          </w:tcPr>
          <w:p>
            <w:pPr>
              <w:spacing w:after="20"/>
            </w:pPr>
            <w:r>
              <w:rPr>
                <w:sz w:val="16"/>
              </w:rPr>
              <w:t xml:space="preserve">54,675</w:t>
            </w:r>
          </w:p>
        </w:tc>
        <w:tc>
          <w:tcPr>
            <w:tcW w:w="900" w:type="dxa"/>
          </w:tcPr>
          <w:p>
            <w:pPr>
              <w:spacing w:after="20"/>
            </w:pPr>
            <w:r>
              <w:rPr>
                <w:sz w:val="16"/>
              </w:rPr>
              <w:t xml:space="preserve">1,527</w:t>
            </w:r>
          </w:p>
        </w:tc>
        <w:tc>
          <w:tcPr>
            <w:tcW w:w="800" w:type="dxa"/>
          </w:tcPr>
          <w:p>
            <w:pPr>
              <w:spacing w:after="20"/>
            </w:pPr>
            <w:r>
              <w:rPr>
                <w:sz w:val="16"/>
              </w:rPr>
              <w:t xml:space="preserve">731</w:t>
            </w:r>
          </w:p>
        </w:tc>
        <w:tc>
          <w:tcPr>
            <w:tcW w:w="900" w:type="dxa"/>
          </w:tcPr>
          <w:p>
            <w:pPr>
              <w:spacing w:after="20"/>
            </w:pPr>
            <w:r>
              <w:rPr>
                <w:sz w:val="16"/>
              </w:rPr>
              <w:t xml:space="preserve">796</w:t>
            </w:r>
          </w:p>
        </w:tc>
      </w:tr>
      <w:tr>
        <w:tc>
          <w:tcPr>
            <w:tcW w:w="900" w:type="dxa"/>
          </w:tcPr>
          <w:p>
            <w:pPr>
              <w:spacing w:after="20"/>
            </w:pPr>
            <w:r>
              <w:rPr>
                <w:sz w:val="16"/>
              </w:rPr>
              <w:t xml:space="preserve">Hidradenitis suppurativa (HS)</w:t>
            </w:r>
          </w:p>
        </w:tc>
        <w:tc>
          <w:tcPr>
            <w:tcW w:w="1000" w:type="dxa"/>
          </w:tcPr>
          <w:p>
            <w:pPr>
              <w:spacing w:after="20"/>
            </w:pPr>
            <w:r>
              <w:rPr>
                <w:sz w:val="16"/>
              </w:rPr>
              <w:t xml:space="preserve">GSE148027</w:t>
            </w:r>
          </w:p>
        </w:tc>
        <w:tc>
          <w:tcPr>
            <w:tcW w:w="1700" w:type="dxa"/>
          </w:tcPr>
          <w:p>
            <w:pPr>
              <w:spacing w:after="20"/>
            </w:pPr>
            <w:r>
              <w:rPr>
                <w:sz w:val="16"/>
              </w:rPr>
              <w:t xml:space="preserve">GPL570, Affymetrix HG-U133 Plus 2.0</w:t>
            </w:r>
          </w:p>
        </w:tc>
        <w:tc>
          <w:tcPr>
            <w:tcW w:w="800" w:type="dxa"/>
          </w:tcPr>
          <w:p>
            <w:pPr>
              <w:spacing w:after="20"/>
            </w:pPr>
            <w:r>
              <w:rPr>
                <w:sz w:val="16"/>
              </w:rPr>
              <w:t xml:space="preserve">33</w:t>
            </w:r>
          </w:p>
        </w:tc>
        <w:tc>
          <w:tcPr>
            <w:tcW w:w="2100" w:type="dxa"/>
          </w:tcPr>
          <w:p>
            <w:pPr>
              <w:spacing w:after="20"/>
            </w:pPr>
            <w:r>
              <w:rPr>
                <w:sz w:val="16"/>
              </w:rPr>
              <w:t xml:space="preserve">18 lesional, 7 non-lesional, 8 healthy</w:t>
            </w:r>
          </w:p>
        </w:tc>
        <w:tc>
          <w:tcPr>
            <w:tcW w:w="1500" w:type="dxa"/>
          </w:tcPr>
          <w:p>
            <w:pPr>
              <w:spacing w:after="20"/>
            </w:pPr>
            <w:r>
              <w:rPr>
                <w:sz w:val="16"/>
              </w:rPr>
              <w:t xml:space="preserve">Lesional vs non-lesional (18 vs 7)</w:t>
            </w:r>
          </w:p>
        </w:tc>
        <w:tc>
          <w:tcPr>
            <w:tcW w:w="1500" w:type="dxa"/>
          </w:tcPr>
          <w:p>
            <w:pPr>
              <w:spacing w:after="20"/>
            </w:pPr>
            <w:r>
              <w:rPr>
                <w:sz w:val="16"/>
              </w:rPr>
              <w:t xml:space="preserve">FDR-adjusted P &lt; 0.05</w:t>
            </w:r>
          </w:p>
        </w:tc>
        <w:tc>
          <w:tcPr>
            <w:tcW w:w="1100" w:type="dxa"/>
          </w:tcPr>
          <w:p>
            <w:pPr>
              <w:spacing w:after="20"/>
            </w:pPr>
            <w:r>
              <w:rPr>
                <w:sz w:val="16"/>
              </w:rPr>
              <w:t xml:space="preserve">54,675</w:t>
            </w:r>
          </w:p>
        </w:tc>
        <w:tc>
          <w:tcPr>
            <w:tcW w:w="900" w:type="dxa"/>
          </w:tcPr>
          <w:p>
            <w:pPr>
              <w:spacing w:after="20"/>
            </w:pPr>
            <w:r>
              <w:rPr>
                <w:sz w:val="16"/>
              </w:rPr>
              <w:t xml:space="preserve">6,801</w:t>
            </w:r>
          </w:p>
        </w:tc>
        <w:tc>
          <w:tcPr>
            <w:tcW w:w="800" w:type="dxa"/>
          </w:tcPr>
          <w:p>
            <w:pPr>
              <w:spacing w:after="20"/>
            </w:pPr>
            <w:r>
              <w:rPr>
                <w:sz w:val="16"/>
              </w:rPr>
              <w:t xml:space="preserve">3,509</w:t>
            </w:r>
          </w:p>
        </w:tc>
        <w:tc>
          <w:tcPr>
            <w:tcW w:w="900" w:type="dxa"/>
          </w:tcPr>
          <w:p>
            <w:pPr>
              <w:spacing w:after="20"/>
            </w:pPr>
            <w:r>
              <w:rPr>
                <w:sz w:val="16"/>
              </w:rPr>
              <w:t xml:space="preserve">3,292</w:t>
            </w:r>
          </w:p>
        </w:tc>
      </w:tr>
      <w:tr>
        <w:tc>
          <w:tcPr>
            <w:tcW w:w="900" w:type="dxa"/>
          </w:tcPr>
          <w:p>
            <w:pPr>
              <w:spacing w:after="20"/>
            </w:pPr>
            <w:r>
              <w:rPr>
                <w:sz w:val="16"/>
              </w:rPr>
              <w:t xml:space="preserve">Vitiligo (VL)</w:t>
            </w:r>
          </w:p>
        </w:tc>
        <w:tc>
          <w:tcPr>
            <w:tcW w:w="1000" w:type="dxa"/>
          </w:tcPr>
          <w:p>
            <w:pPr>
              <w:spacing w:after="20"/>
            </w:pPr>
            <w:r>
              <w:rPr>
                <w:sz w:val="16"/>
              </w:rPr>
              <w:t xml:space="preserve">GSE75819</w:t>
            </w:r>
          </w:p>
        </w:tc>
        <w:tc>
          <w:tcPr>
            <w:tcW w:w="1700" w:type="dxa"/>
          </w:tcPr>
          <w:p>
            <w:pPr>
              <w:spacing w:after="20"/>
            </w:pPr>
            <w:r>
              <w:rPr>
                <w:sz w:val="16"/>
              </w:rPr>
              <w:t xml:space="preserve">GPL6884, Illumina HumanWG-6 v3.0</w:t>
            </w:r>
          </w:p>
        </w:tc>
        <w:tc>
          <w:tcPr>
            <w:tcW w:w="800" w:type="dxa"/>
          </w:tcPr>
          <w:p>
            <w:pPr>
              <w:spacing w:after="20"/>
            </w:pPr>
            <w:r>
              <w:rPr>
                <w:sz w:val="16"/>
              </w:rPr>
              <w:t xml:space="preserve">30</w:t>
            </w:r>
          </w:p>
        </w:tc>
        <w:tc>
          <w:tcPr>
            <w:tcW w:w="2100" w:type="dxa"/>
          </w:tcPr>
          <w:p>
            <w:pPr>
              <w:spacing w:after="20"/>
            </w:pPr>
            <w:r>
              <w:rPr>
                <w:sz w:val="16"/>
              </w:rPr>
              <w:t xml:space="preserve">15 lesional (depigmented), 15 non-lesional</w:t>
            </w:r>
          </w:p>
        </w:tc>
        <w:tc>
          <w:tcPr>
            <w:tcW w:w="1500" w:type="dxa"/>
          </w:tcPr>
          <w:p>
            <w:pPr>
              <w:spacing w:after="20"/>
            </w:pPr>
            <w:r>
              <w:rPr>
                <w:sz w:val="16"/>
              </w:rPr>
              <w:t xml:space="preserve">Lesional vs non-lesional (15 vs 15)</w:t>
            </w:r>
          </w:p>
        </w:tc>
        <w:tc>
          <w:tcPr>
            <w:tcW w:w="1500" w:type="dxa"/>
          </w:tcPr>
          <w:p>
            <w:pPr>
              <w:spacing w:after="20"/>
            </w:pPr>
            <w:r>
              <w:rPr>
                <w:sz w:val="16"/>
              </w:rPr>
              <w:t xml:space="preserve">FDR-adjusted P &lt; 0.05</w:t>
            </w:r>
          </w:p>
        </w:tc>
        <w:tc>
          <w:tcPr>
            <w:tcW w:w="1100" w:type="dxa"/>
          </w:tcPr>
          <w:p>
            <w:pPr>
              <w:spacing w:after="20"/>
            </w:pPr>
            <w:r>
              <w:rPr>
                <w:sz w:val="16"/>
              </w:rPr>
              <w:t xml:space="preserve">20,099</w:t>
            </w:r>
          </w:p>
        </w:tc>
        <w:tc>
          <w:tcPr>
            <w:tcW w:w="900" w:type="dxa"/>
          </w:tcPr>
          <w:p>
            <w:pPr>
              <w:spacing w:after="20"/>
            </w:pPr>
            <w:r>
              <w:rPr>
                <w:sz w:val="16"/>
              </w:rPr>
              <w:t xml:space="preserve">3,040</w:t>
            </w:r>
          </w:p>
        </w:tc>
        <w:tc>
          <w:tcPr>
            <w:tcW w:w="800" w:type="dxa"/>
          </w:tcPr>
          <w:p>
            <w:pPr>
              <w:spacing w:after="20"/>
            </w:pPr>
            <w:r>
              <w:rPr>
                <w:sz w:val="16"/>
              </w:rPr>
              <w:t xml:space="preserve">1,749</w:t>
            </w:r>
          </w:p>
        </w:tc>
        <w:tc>
          <w:tcPr>
            <w:tcW w:w="900" w:type="dxa"/>
          </w:tcPr>
          <w:p>
            <w:pPr>
              <w:spacing w:after="20"/>
            </w:pPr>
            <w:r>
              <w:rPr>
                <w:sz w:val="16"/>
              </w:rPr>
              <w:t xml:space="preserve">1,291</w:t>
            </w:r>
          </w:p>
        </w:tc>
      </w:tr>
      <w:tr>
        <w:tc>
          <w:tcPr>
            <w:tcW w:w="900" w:type="dxa"/>
          </w:tcPr>
          <w:p>
            <w:pPr>
              <w:spacing w:after="20"/>
            </w:pPr>
            <w:r>
              <w:rPr>
                <w:sz w:val="16"/>
              </w:rPr>
              <w:t xml:space="preserve">Chronic spontaneous urticaria (CSU)</w:t>
            </w:r>
          </w:p>
        </w:tc>
        <w:tc>
          <w:tcPr>
            <w:tcW w:w="1000" w:type="dxa"/>
          </w:tcPr>
          <w:p>
            <w:pPr>
              <w:spacing w:after="20"/>
            </w:pPr>
            <w:r>
              <w:rPr>
                <w:sz w:val="16"/>
              </w:rPr>
              <w:t xml:space="preserve">GSE57178</w:t>
            </w:r>
          </w:p>
        </w:tc>
        <w:tc>
          <w:tcPr>
            <w:tcW w:w="1700" w:type="dxa"/>
          </w:tcPr>
          <w:p>
            <w:pPr>
              <w:spacing w:after="20"/>
            </w:pPr>
            <w:r>
              <w:rPr>
                <w:sz w:val="16"/>
              </w:rPr>
              <w:t xml:space="preserve">GPL6244, Affymetrix Human Gene 1.0 ST</w:t>
            </w:r>
          </w:p>
        </w:tc>
        <w:tc>
          <w:tcPr>
            <w:tcW w:w="800" w:type="dxa"/>
          </w:tcPr>
          <w:p>
            <w:pPr>
              <w:spacing w:after="20"/>
            </w:pPr>
            <w:r>
              <w:rPr>
                <w:sz w:val="16"/>
              </w:rPr>
              <w:t xml:space="preserve">18</w:t>
            </w:r>
          </w:p>
        </w:tc>
        <w:tc>
          <w:tcPr>
            <w:tcW w:w="2100" w:type="dxa"/>
          </w:tcPr>
          <w:p>
            <w:pPr>
              <w:spacing w:after="20"/>
            </w:pPr>
            <w:r>
              <w:rPr>
                <w:sz w:val="16"/>
              </w:rPr>
              <w:t xml:space="preserve">6 patient lesional, 7 patient non-lesional, 5 normal</w:t>
            </w:r>
          </w:p>
        </w:tc>
        <w:tc>
          <w:tcPr>
            <w:tcW w:w="1500" w:type="dxa"/>
          </w:tcPr>
          <w:p>
            <w:pPr>
              <w:spacing w:after="20"/>
            </w:pPr>
            <w:r>
              <w:rPr>
                <w:sz w:val="16"/>
              </w:rPr>
              <w:t xml:space="preserve">Lesional vs non-lesional (6 vs 7)</w:t>
            </w:r>
          </w:p>
        </w:tc>
        <w:tc>
          <w:tcPr>
            <w:tcW w:w="1500" w:type="dxa"/>
          </w:tcPr>
          <w:p>
            <w:pPr>
              <w:spacing w:after="20"/>
            </w:pPr>
            <w:r>
              <w:rPr>
                <w:sz w:val="16"/>
              </w:rPr>
              <w:t xml:space="preserve">Nominal P &lt; 0.05</w:t>
            </w:r>
          </w:p>
        </w:tc>
        <w:tc>
          <w:tcPr>
            <w:tcW w:w="1100" w:type="dxa"/>
          </w:tcPr>
          <w:p>
            <w:pPr>
              <w:spacing w:after="20"/>
            </w:pPr>
            <w:r>
              <w:rPr>
                <w:sz w:val="16"/>
              </w:rPr>
              <w:t xml:space="preserve">33,297</w:t>
            </w:r>
          </w:p>
        </w:tc>
        <w:tc>
          <w:tcPr>
            <w:tcW w:w="900" w:type="dxa"/>
          </w:tcPr>
          <w:p>
            <w:pPr>
              <w:spacing w:after="20"/>
            </w:pPr>
            <w:r>
              <w:rPr>
                <w:sz w:val="16"/>
              </w:rPr>
              <w:t xml:space="preserve">976</w:t>
            </w:r>
          </w:p>
        </w:tc>
        <w:tc>
          <w:tcPr>
            <w:tcW w:w="800" w:type="dxa"/>
          </w:tcPr>
          <w:p>
            <w:pPr>
              <w:spacing w:after="20"/>
            </w:pPr>
            <w:r>
              <w:rPr>
                <w:sz w:val="16"/>
              </w:rPr>
              <w:t xml:space="preserve">804</w:t>
            </w:r>
          </w:p>
        </w:tc>
        <w:tc>
          <w:tcPr>
            <w:tcW w:w="900" w:type="dxa"/>
          </w:tcPr>
          <w:p>
            <w:pPr>
              <w:spacing w:after="20"/>
            </w:pPr>
            <w:r>
              <w:rPr>
                <w:sz w:val="16"/>
              </w:rPr>
              <w:t xml:space="preserve">172</w:t>
            </w:r>
          </w:p>
        </w:tc>
      </w:tr>
      <w:tr>
        <w:tc>
          <w:tcPr>
            <w:tcW w:w="900" w:type="dxa"/>
          </w:tcPr>
          <w:p>
            <w:pPr>
              <w:spacing w:after="20"/>
            </w:pPr>
            <w:r>
              <w:rPr>
                <w:sz w:val="16"/>
              </w:rPr>
              <w:t xml:space="preserve">SLS-induced irritant contact dermatitis (SLS-ICD)</w:t>
            </w:r>
          </w:p>
        </w:tc>
        <w:tc>
          <w:tcPr>
            <w:tcW w:w="1000" w:type="dxa"/>
          </w:tcPr>
          <w:p>
            <w:pPr>
              <w:spacing w:after="20"/>
            </w:pPr>
            <w:r>
              <w:rPr>
                <w:sz w:val="16"/>
              </w:rPr>
              <w:t xml:space="preserve">GSE168735</w:t>
            </w:r>
          </w:p>
        </w:tc>
        <w:tc>
          <w:tcPr>
            <w:tcW w:w="1700" w:type="dxa"/>
          </w:tcPr>
          <w:p>
            <w:pPr>
              <w:spacing w:after="20"/>
            </w:pPr>
            <w:r>
              <w:rPr>
                <w:sz w:val="16"/>
              </w:rPr>
              <w:t xml:space="preserve">GPL29838</w:t>
            </w:r>
          </w:p>
        </w:tc>
        <w:tc>
          <w:tcPr>
            <w:tcW w:w="800" w:type="dxa"/>
          </w:tcPr>
          <w:p>
            <w:pPr>
              <w:spacing w:after="20"/>
            </w:pPr>
            <w:r>
              <w:rPr>
                <w:sz w:val="16"/>
              </w:rPr>
              <w:t xml:space="preserve">103</w:t>
            </w:r>
          </w:p>
        </w:tc>
        <w:tc>
          <w:tcPr>
            <w:tcW w:w="2100" w:type="dxa"/>
          </w:tcPr>
          <w:p>
            <w:pPr>
              <w:spacing w:after="20"/>
            </w:pPr>
            <w:r>
              <w:rPr>
                <w:sz w:val="16"/>
              </w:rPr>
              <w:t xml:space="preserve">11 SLS-exposed, 8 untreated, 36 petrolatum vehicle, remainder other chemical exposures</w:t>
            </w:r>
          </w:p>
        </w:tc>
        <w:tc>
          <w:tcPr>
            <w:tcW w:w="1500" w:type="dxa"/>
          </w:tcPr>
          <w:p>
            <w:pPr>
              <w:spacing w:after="20"/>
            </w:pPr>
            <w:r>
              <w:rPr>
                <w:sz w:val="16"/>
              </w:rPr>
              <w:t xml:space="preserve">SLS-exposed vs untreated control (11 vs 8)</w:t>
            </w:r>
          </w:p>
        </w:tc>
        <w:tc>
          <w:tcPr>
            <w:tcW w:w="1500" w:type="dxa"/>
          </w:tcPr>
          <w:p>
            <w:pPr>
              <w:spacing w:after="20"/>
            </w:pPr>
            <w:r>
              <w:rPr>
                <w:sz w:val="16"/>
              </w:rPr>
              <w:t xml:space="preserve">Nominal P &lt; 0.05</w:t>
            </w:r>
          </w:p>
        </w:tc>
        <w:tc>
          <w:tcPr>
            <w:tcW w:w="1100" w:type="dxa"/>
          </w:tcPr>
          <w:p>
            <w:pPr>
              <w:spacing w:after="20"/>
            </w:pPr>
            <w:r>
              <w:rPr>
                <w:sz w:val="16"/>
              </w:rPr>
              <w:t xml:space="preserve">21,201</w:t>
            </w:r>
          </w:p>
        </w:tc>
        <w:tc>
          <w:tcPr>
            <w:tcW w:w="900" w:type="dxa"/>
          </w:tcPr>
          <w:p>
            <w:pPr>
              <w:spacing w:after="20"/>
            </w:pPr>
            <w:r>
              <w:rPr>
                <w:sz w:val="16"/>
              </w:rPr>
              <w:t xml:space="preserve">33</w:t>
            </w:r>
          </w:p>
        </w:tc>
        <w:tc>
          <w:tcPr>
            <w:tcW w:w="800" w:type="dxa"/>
          </w:tcPr>
          <w:p>
            <w:pPr>
              <w:spacing w:after="20"/>
            </w:pPr>
            <w:r>
              <w:rPr>
                <w:sz w:val="16"/>
              </w:rPr>
              <w:t xml:space="preserve">16</w:t>
            </w:r>
          </w:p>
        </w:tc>
        <w:tc>
          <w:tcPr>
            <w:tcW w:w="900" w:type="dxa"/>
          </w:tcPr>
          <w:p>
            <w:pPr>
              <w:spacing w:after="20"/>
            </w:pPr>
            <w:r>
              <w:rPr>
                <w:sz w:val="16"/>
              </w:rPr>
              <w:t xml:space="preserve">17</w:t>
            </w:r>
          </w:p>
        </w:tc>
      </w:tr>
    </w:tbl>
    <w:p>
      <w:pPr>
        <w:spacing w:after="120"/>
      </w:pPr>
      <w:r>
        <w:rPr/>
        <w:t xml:space="preserve"/>
      </w:r>
    </w:p>
    <w:sectPr>
      <w:pgSz w:w="16838" w:h="11906" w:orient="landscape"/>
      <w:pgMar w:top="1000" w:right="1000" w:bottom="1000" w:left="1000"/>
    </w:sectPr>
  </w:body>
</w:document>
</file>