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>
  <w:body>
    <w:p>
      <w:pPr>
        <w:jc w:val="left"/>
        <w:spacing w:after="360" w:line="360" w:lineRule="auto"/>
      </w:pPr>
      <w:r>
        <w:rPr>
          <w:rFonts w:ascii="Cambria" w:hAnsi="Cambria" w:cs="Nirmala UI"/>
          <w:sz w:val="18"/>
          <w:szCs w:val="18"/>
          <w:lang w:val="en-GB" w:bidi="bn-BD"/>
        </w:rPr>
        <w:t xml:space="preserve">DEMO SAMPLE — retyped from a scanned page. Public-domain text: Rabindranath Tagore; Universal Declaration of Human Rights, Article 1.</w:t>
      </w:r>
    </w:p>
    <w:p>
      <w:pPr>
        <w:jc w:val="left"/>
        <w:spacing w:after="60" w:line="360" w:lineRule="auto"/>
      </w:pPr>
      <w:r>
        <w:rPr>
          <w:rFonts w:ascii="Cambria" w:hAnsi="Cambria" w:cs="Nirmala UI"/>
          <w:b/>
          <w:bCs/>
          <w:sz w:val="36"/>
          <w:szCs w:val="36"/>
          <w:lang w:val="en-GB" w:bidi="bn-BD"/>
        </w:rPr>
        <w:t xml:space="preserve">আমাদের ছোট নদী</w:t>
      </w:r>
    </w:p>
    <w:p>
      <w:pPr>
        <w:jc w:val="left"/>
        <w:spacing w:after="300" w:line="360" w:lineRule="auto"/>
      </w:pPr>
      <w:r>
        <w:rPr>
          <w:rFonts w:ascii="Cambria" w:hAnsi="Cambria" w:cs="Nirmala UI"/>
          <w:sz w:val="22"/>
          <w:szCs w:val="22"/>
          <w:lang w:val="en-GB" w:bidi="bn-BD"/>
        </w:rPr>
        <w:t xml:space="preserve">— রবীন্দ্রনাথ ঠাকুর</w:t>
      </w:r>
    </w:p>
    <w:p>
      <w:pPr>
        <w:jc w:val="left"/>
        <w:spacing w:after="0" w:line="360" w:lineRule="auto"/>
      </w:pPr>
      <w:r>
        <w:rPr>
          <w:rFonts w:ascii="Cambria" w:hAnsi="Cambria" w:cs="Nirmala UI"/>
          <w:sz w:val="26"/>
          <w:szCs w:val="26"/>
          <w:lang w:val="en-GB" w:bidi="bn-BD"/>
        </w:rPr>
        <w:t xml:space="preserve">আমাদের ছোট নদী চলে বাঁকে বাঁকে</w:t>
      </w:r>
    </w:p>
    <w:p>
      <w:pPr>
        <w:jc w:val="left"/>
        <w:spacing w:after="0" w:line="360" w:lineRule="auto"/>
      </w:pPr>
      <w:r>
        <w:rPr>
          <w:rFonts w:ascii="Cambria" w:hAnsi="Cambria" w:cs="Nirmala UI"/>
          <w:sz w:val="26"/>
          <w:szCs w:val="26"/>
          <w:lang w:val="en-GB" w:bidi="bn-BD"/>
        </w:rPr>
        <w:t xml:space="preserve">বৈশাখ মাসে তার হাঁটু জল থাকে।</w:t>
      </w:r>
    </w:p>
    <w:p>
      <w:pPr>
        <w:jc w:val="left"/>
        <w:spacing w:after="0" w:line="360" w:lineRule="auto"/>
      </w:pPr>
      <w:r>
        <w:rPr>
          <w:rFonts w:ascii="Cambria" w:hAnsi="Cambria" w:cs="Nirmala UI"/>
          <w:sz w:val="26"/>
          <w:szCs w:val="26"/>
          <w:lang w:val="en-GB" w:bidi="bn-BD"/>
        </w:rPr>
        <w:t xml:space="preserve">পার হয়ে যায় গরু, পার হয় গাড়ি,</w:t>
      </w:r>
    </w:p>
    <w:p>
      <w:pPr>
        <w:jc w:val="left"/>
        <w:spacing w:after="360" w:line="360" w:lineRule="auto"/>
      </w:pPr>
      <w:r>
        <w:rPr>
          <w:rFonts w:ascii="Cambria" w:hAnsi="Cambria" w:cs="Nirmala UI"/>
          <w:sz w:val="26"/>
          <w:szCs w:val="26"/>
          <w:lang w:val="en-GB" w:bidi="bn-BD"/>
        </w:rPr>
        <w:t xml:space="preserve">দুই ধার উঁচু তার, ঢালু তার পাড়ি।</w:t>
      </w:r>
    </w:p>
    <w:p>
      <w:pPr>
        <w:jc w:val="left"/>
        <w:spacing w:after="120" w:line="360" w:lineRule="auto"/>
      </w:pPr>
      <w:r>
        <w:rPr>
          <w:rFonts w:ascii="Cambria" w:hAnsi="Cambria" w:cs="Nirmala UI"/>
          <w:b/>
          <w:bCs/>
          <w:sz w:val="26"/>
          <w:szCs w:val="26"/>
          <w:lang w:val="en-GB" w:bidi="bn-BD"/>
        </w:rPr>
        <w:t xml:space="preserve">অনুচ্ছেদ ১</w:t>
      </w:r>
    </w:p>
    <w:p>
      <w:pPr>
        <w:jc w:val="both"/>
        <w:spacing w:after="300" w:line="360" w:lineRule="auto"/>
      </w:pPr>
      <w:r>
        <w:rPr>
          <w:rFonts w:ascii="Cambria" w:hAnsi="Cambria" w:cs="Nirmala UI"/>
          <w:sz w:val="24"/>
          <w:szCs w:val="24"/>
          <w:lang w:val="en-GB" w:bidi="bn-BD"/>
        </w:rPr>
        <w:t xml:space="preserve">সমস্ত মানুষ স্বাধীনভাবে সমান মর্যাদা এবং অধিকার নিয়ে জন্মগ্রহণ করে। তাঁদের বিবেক এবং বুদ্ধি আছে; সুতরাং সকলেরই একে অপরের প্রতি ভ্রাতৃত্বসুলভ মনোভাব নিয়ে আচরণ করা উচিত।</w:t>
      </w:r>
    </w:p>
    <w:p>
      <w:pPr>
        <w:jc w:val="left"/>
        <w:spacing w:after="120" w:line="360" w:lineRule="auto"/>
      </w:pPr>
      <w:r>
        <w:rPr>
          <w:rFonts w:ascii="Cambria" w:hAnsi="Cambria" w:cs="Nirmala UI"/>
          <w:b/>
          <w:bCs/>
          <w:sz w:val="26"/>
          <w:szCs w:val="26"/>
          <w:lang w:val="en-GB" w:bidi="bn-BD"/>
        </w:rPr>
        <w:t xml:space="preserve">Article 1</w:t>
      </w:r>
    </w:p>
    <w:p>
      <w:pPr>
        <w:jc w:val="both"/>
        <w:spacing w:after="160" w:line="360" w:lineRule="auto"/>
      </w:pPr>
      <w:r>
        <w:rPr>
          <w:rFonts w:ascii="Cambria" w:hAnsi="Cambria" w:cs="Nirmala UI"/>
          <w:sz w:val="24"/>
          <w:szCs w:val="24"/>
          <w:lang w:val="en-GB" w:bidi="bn-BD"/>
        </w:rPr>
        <w:t xml:space="preserve">All human beings are born free and equal in dignity and rights. They are endowed with reason and conscience and should act towards one another in a spirit of brotherhood.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 sample: scanned page to editable Word (Bangla and English)</dc:title>
  <dc:creator>Saadman Khandker</dc:creator>
  <dc:description>Demonstration file built from public-domain text (Rabindranath Tagore; Universal Declaration of Human Rights, Article 1).</dc:description>
</cp:coreProperties>
</file>