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400"/>
      </w:pPr>
      <w:r>
        <w:drawing>
          <wp:inline distT="0" distB="0" distL="0" distR="0">
            <wp:extent cx="45720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723900"/>
                    </a:xfrm>
                    <a:prstGeom prst="rect">
                      <a:avLst/>
                    </a:prstGeom>
                  </pic:spPr>
                </pic:pic>
              </a:graphicData>
            </a:graphic>
          </wp:inline>
        </w:drawing>
      </w:r>
    </w:p>
    <w:p>
      <w:pPr>
        <w:keepNext w:val="false"/>
        <w:spacing w:after="600" w:before="0"/>
        <w:jc w:val="center"/>
      </w:pPr>
      <w:r>
        <w:rPr>
          <w:b/>
          <w:bCs/>
          <w:sz w:val="22"/>
          <w:szCs w:val="22"/>
        </w:rPr>
        <w:t xml:space="preserve">DEPARTMENT OF ARTIFICIAL INTELLIGENCE AND MACHINE LEARNING</w:t>
      </w:r>
    </w:p>
    <w:p>
      <w:pPr>
        <w:pBdr>
          <w:bottom w:val="single" w:color="000000" w:sz="6" w:space="1"/>
        </w:pBdr>
        <w:spacing w:after="240"/>
      </w:pPr>
    </w:p>
    <w:p>
      <w:pPr>
        <w:keepNext w:val="false"/>
        <w:spacing w:after="240" w:before="0"/>
        <w:jc w:val="center"/>
      </w:pPr>
      <w:r>
        <w:rPr>
          <w:sz w:val="22"/>
          <w:szCs w:val="22"/>
        </w:rPr>
        <w:t xml:space="preserve">DEEP LEARNING PROJECT REPORT</w:t>
      </w:r>
    </w:p>
    <w:p>
      <w:pPr>
        <w:keepNext w:val="false"/>
        <w:spacing w:after="120" w:before="0"/>
        <w:jc w:val="center"/>
      </w:pPr>
      <w:r>
        <w:rPr>
          <w:sz w:val="40"/>
          <w:szCs w:val="40"/>
        </w:rPr>
        <w:t xml:space="preserve">AI-Based Predictive Maintenance</w:t>
      </w:r>
    </w:p>
    <w:p>
      <w:pPr>
        <w:keepNext w:val="false"/>
        <w:spacing w:after="120" w:before="0"/>
        <w:jc w:val="center"/>
      </w:pPr>
      <w:r>
        <w:rPr>
          <w:sz w:val="20"/>
          <w:szCs w:val="20"/>
        </w:rPr>
        <w:t xml:space="preserve">Using Multivariate Sensor Data for Remaining Useful Life Estimation</w:t>
      </w:r>
    </w:p>
    <w:p>
      <w:pPr>
        <w:pBdr>
          <w:bottom w:val="single" w:color="000000" w:sz="6" w:space="1"/>
        </w:pBdr>
        <w:spacing w:after="800"/>
      </w:pPr>
    </w:p>
    <w:p>
      <w:pPr>
        <w:keepNext w:val="false"/>
        <w:spacing w:after="400" w:before="0"/>
        <w:jc w:val="center"/>
      </w:pPr>
      <w:r>
        <w:rPr>
          <w:i/>
          <w:iCs/>
          <w:sz w:val="21"/>
          <w:szCs w:val="21"/>
        </w:rPr>
        <w:t xml:space="preserve">Submitted by</w:t>
      </w:r>
    </w:p>
    <w:tbl>
      <w:tblPr>
        <w:tblW w:type="dxa" w:w="8000"/>
        <w:jc w:val="center"/>
        <w:tblBorders>
          <w:top w:val="none" w:color="FFFFFF" w:sz="0"/>
          <w:left w:val="none" w:color="FFFFFF" w:sz="0"/>
          <w:bottom w:val="none" w:color="FFFFFF" w:sz="0"/>
          <w:right w:val="none" w:color="FFFFFF" w:sz="0"/>
          <w:insideH w:val="none" w:color="FFFFFF" w:sz="0"/>
          <w:insideV w:val="none" w:color="FFFFFF" w:sz="0"/>
        </w:tblBorders>
      </w:tblPr>
      <w:tblGrid>
        <w:gridCol w:w="4000"/>
        <w:gridCol w:w="4000"/>
      </w:tblGrid>
      <w:tr>
        <w:tc>
          <w:tcPr>
            <w:tcW w:type="dxa" w:w="4000"/>
            <w:tcBorders>
              <w:top w:val="none" w:color="FFFFFF" w:sz="0"/>
              <w:left w:val="none" w:color="FFFFFF" w:sz="0"/>
              <w:bottom w:val="none" w:color="FFFFFF" w:sz="0"/>
              <w:right w:val="none" w:color="FFFFFF" w:sz="0"/>
            </w:tcBorders>
          </w:tcPr>
          <w:p>
            <w:pPr>
              <w:jc w:val="center"/>
            </w:pPr>
            <w:r>
              <w:rPr>
                <w:b/>
                <w:bCs/>
                <w:sz w:val="26"/>
                <w:szCs w:val="26"/>
              </w:rPr>
              <w:t xml:space="preserve">Saafalya Sengupta</w:t>
            </w:r>
          </w:p>
          <w:p>
            <w:pPr>
              <w:jc w:val="center"/>
            </w:pPr>
            <w:r>
              <w:rPr>
                <w:sz w:val="21"/>
                <w:szCs w:val="21"/>
              </w:rPr>
              <w:t xml:space="preserve">PRN 24070126158</w:t>
            </w:r>
          </w:p>
        </w:tc>
        <w:tc>
          <w:tcPr>
            <w:tcW w:type="dxa" w:w="4000"/>
            <w:tcBorders>
              <w:top w:val="none" w:color="FFFFFF" w:sz="0"/>
              <w:left w:val="none" w:color="FFFFFF" w:sz="0"/>
              <w:bottom w:val="none" w:color="FFFFFF" w:sz="0"/>
              <w:right w:val="none" w:color="FFFFFF" w:sz="0"/>
            </w:tcBorders>
          </w:tcPr>
          <w:p>
            <w:pPr>
              <w:jc w:val="center"/>
            </w:pPr>
            <w:r>
              <w:rPr>
                <w:b/>
                <w:bCs/>
                <w:sz w:val="26"/>
                <w:szCs w:val="26"/>
              </w:rPr>
              <w:t xml:space="preserve">Ribhav Dhankani</w:t>
            </w:r>
          </w:p>
          <w:p>
            <w:pPr>
              <w:jc w:val="center"/>
            </w:pPr>
            <w:r>
              <w:rPr>
                <w:sz w:val="21"/>
                <w:szCs w:val="21"/>
              </w:rPr>
              <w:t xml:space="preserve">PRN 24070126150</w:t>
            </w:r>
          </w:p>
        </w:tc>
      </w:tr>
    </w:tbl>
    <w:p>
      <w:pPr>
        <w:keepNext w:val="false"/>
        <w:spacing w:after="400" w:before="160"/>
        <w:jc w:val="center"/>
      </w:pPr>
      <w:r>
        <w:rPr>
          <w:sz w:val="21"/>
          <w:szCs w:val="21"/>
        </w:rPr>
        <w:t xml:space="preserve">AIML, Division C1</w:t>
      </w:r>
    </w:p>
    <w:p>
      <w:pPr>
        <w:keepNext w:val="false"/>
        <w:spacing w:after="40" w:before="0"/>
        <w:jc w:val="center"/>
      </w:pPr>
      <w:r>
        <w:rPr>
          <w:i/>
          <w:iCs/>
          <w:sz w:val="21"/>
          <w:szCs w:val="21"/>
        </w:rPr>
        <w:t xml:space="preserve">Faculty Coordinator</w:t>
      </w:r>
    </w:p>
    <w:p>
      <w:pPr>
        <w:keepNext w:val="false"/>
        <w:spacing w:after="0" w:before="0"/>
        <w:jc w:val="center"/>
      </w:pPr>
      <w:r>
        <w:rPr>
          <w:b/>
          <w:bCs/>
          <w:sz w:val="21"/>
          <w:szCs w:val="21"/>
        </w:rPr>
        <w:t xml:space="preserve">Dr. Shrikrishna Kolhar</w:t>
      </w:r>
    </w:p>
    <w:p>
      <w:pPr>
        <w:keepNext w:val="false"/>
        <w:spacing w:after="1000" w:before="0"/>
        <w:jc w:val="center"/>
      </w:pPr>
      <w:r>
        <w:rPr>
          <w:i/>
          <w:iCs/>
          <w:sz w:val="21"/>
          <w:szCs w:val="21"/>
        </w:rPr>
        <w:t xml:space="preserve">Associate Professor</w:t>
      </w:r>
    </w:p>
    <w:p>
      <w:pPr>
        <w:keepNext w:val="false"/>
        <w:spacing w:after="0" w:before="0"/>
        <w:jc w:val="center"/>
      </w:pPr>
      <w:r>
        <w:rPr>
          <w:sz w:val="21"/>
          <w:szCs w:val="21"/>
        </w:rPr>
        <w:t xml:space="preserve">Academic Year 2026–27</w:t>
      </w:r>
    </w:p>
    <w:p>
      <w:r>
        <w:br w:type="page"/>
      </w:r>
    </w:p>
    <w:p>
      <w:pPr>
        <w:keepNext w:val="false"/>
        <w:spacing w:after="200" w:before="0"/>
        <w:jc w:val="center"/>
      </w:pPr>
      <w:r>
        <w:rPr>
          <w:sz w:val="40"/>
          <w:szCs w:val="40"/>
        </w:rPr>
        <w:t xml:space="preserve">AI-Based Predictive Maintenance Using Multivariate Sensor Data</w:t>
      </w:r>
    </w:p>
    <w:tbl>
      <w:tblPr>
        <w:tblW w:type="dxa" w:w="10080"/>
        <w:jc w:val="center"/>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Borders>
              <w:top w:val="none" w:color="FFFFFF" w:sz="0"/>
              <w:left w:val="none" w:color="FFFFFF" w:sz="0"/>
              <w:bottom w:val="none" w:color="FFFFFF" w:sz="0"/>
              <w:right w:val="none" w:color="FFFFFF" w:sz="0"/>
            </w:tcBorders>
          </w:tcPr>
          <w:p>
            <w:pPr>
              <w:jc w:val="center"/>
            </w:pPr>
            <w:r>
              <w:rPr>
                <w:sz w:val="22"/>
                <w:szCs w:val="22"/>
              </w:rPr>
              <w:t xml:space="preserve">Saafalya Sengupta</w:t>
            </w:r>
          </w:p>
          <w:p>
            <w:pPr>
              <w:jc w:val="center"/>
            </w:pPr>
            <w:r>
              <w:rPr>
                <w:i/>
                <w:iCs/>
                <w:sz w:val="18"/>
                <w:szCs w:val="18"/>
              </w:rPr>
              <w:t xml:space="preserve">Department of Artificial Intelligence and Machine Learning</w:t>
            </w:r>
          </w:p>
          <w:p>
            <w:pPr>
              <w:jc w:val="center"/>
            </w:pPr>
            <w:r>
              <w:rPr>
                <w:i/>
                <w:iCs/>
                <w:sz w:val="18"/>
                <w:szCs w:val="18"/>
              </w:rPr>
              <w:t xml:space="preserve">Symbiosis Institute of Technology, Symbiosis International</w:t>
            </w:r>
          </w:p>
          <w:p>
            <w:pPr>
              <w:jc w:val="center"/>
            </w:pPr>
            <w:r>
              <w:rPr>
                <w:i/>
                <w:iCs/>
                <w:sz w:val="18"/>
                <w:szCs w:val="18"/>
              </w:rPr>
              <w:t xml:space="preserve">(Deemed University)</w:t>
            </w:r>
          </w:p>
          <w:p>
            <w:pPr>
              <w:jc w:val="center"/>
            </w:pPr>
            <w:r>
              <w:rPr>
                <w:i/>
                <w:iCs/>
                <w:sz w:val="18"/>
                <w:szCs w:val="18"/>
              </w:rPr>
              <w:t xml:space="preserve">Pune, Maharashtra, India</w:t>
            </w:r>
          </w:p>
          <w:p>
            <w:pPr>
              <w:jc w:val="center"/>
            </w:pPr>
            <w:r>
              <w:rPr>
                <w:i/>
                <w:iCs/>
                <w:sz w:val="18"/>
                <w:szCs w:val="18"/>
              </w:rPr>
              <w:t xml:space="preserve">saafalya.sengupta.btech2024@sitpune.edu.in</w:t>
            </w:r>
          </w:p>
        </w:tc>
        <w:tc>
          <w:tcPr>
            <w:tcW w:type="dxa" w:w="5040"/>
            <w:tcBorders>
              <w:top w:val="none" w:color="FFFFFF" w:sz="0"/>
              <w:left w:val="none" w:color="FFFFFF" w:sz="0"/>
              <w:bottom w:val="none" w:color="FFFFFF" w:sz="0"/>
              <w:right w:val="none" w:color="FFFFFF" w:sz="0"/>
            </w:tcBorders>
          </w:tcPr>
          <w:p>
            <w:pPr>
              <w:jc w:val="center"/>
            </w:pPr>
            <w:r>
              <w:rPr>
                <w:sz w:val="22"/>
                <w:szCs w:val="22"/>
              </w:rPr>
              <w:t xml:space="preserve">Ribhav Dhankani</w:t>
            </w:r>
          </w:p>
          <w:p>
            <w:pPr>
              <w:jc w:val="center"/>
            </w:pPr>
            <w:r>
              <w:rPr>
                <w:i/>
                <w:iCs/>
                <w:sz w:val="18"/>
                <w:szCs w:val="18"/>
              </w:rPr>
              <w:t xml:space="preserve">Department of Artificial Intelligence and Machine Learning</w:t>
            </w:r>
          </w:p>
          <w:p>
            <w:pPr>
              <w:jc w:val="center"/>
            </w:pPr>
            <w:r>
              <w:rPr>
                <w:i/>
                <w:iCs/>
                <w:sz w:val="18"/>
                <w:szCs w:val="18"/>
              </w:rPr>
              <w:t xml:space="preserve">Symbiosis Institute of Technology, Symbiosis International</w:t>
            </w:r>
          </w:p>
          <w:p>
            <w:pPr>
              <w:jc w:val="center"/>
            </w:pPr>
            <w:r>
              <w:rPr>
                <w:i/>
                <w:iCs/>
                <w:sz w:val="18"/>
                <w:szCs w:val="18"/>
              </w:rPr>
              <w:t xml:space="preserve">(Deemed University)</w:t>
            </w:r>
          </w:p>
          <w:p>
            <w:pPr>
              <w:jc w:val="center"/>
            </w:pPr>
            <w:r>
              <w:rPr>
                <w:i/>
                <w:iCs/>
                <w:sz w:val="18"/>
                <w:szCs w:val="18"/>
              </w:rPr>
              <w:t xml:space="preserve">Pune, Maharashtra, India</w:t>
            </w:r>
          </w:p>
          <w:p>
            <w:pPr>
              <w:jc w:val="center"/>
            </w:pPr>
            <w:r>
              <w:rPr>
                <w:i/>
                <w:iCs/>
                <w:sz w:val="18"/>
                <w:szCs w:val="18"/>
              </w:rPr>
              <w:t xml:space="preserve">ribhav.dhankani.btech2024@sitpune.edu.in</w:t>
            </w:r>
          </w:p>
        </w:tc>
      </w:tr>
    </w:tbl>
    <w:p>
      <w:pPr>
        <w:spacing w:after="120" w:before="300" w:line="240"/>
        <w:jc w:val="both"/>
      </w:pPr>
      <w:r>
        <w:rPr>
          <w:b/>
          <w:bCs/>
          <w:sz w:val="18"/>
          <w:szCs w:val="18"/>
        </w:rPr>
        <w:t xml:space="preserve">Abstract: </w:t>
      </w:r>
      <w:r>
        <w:rPr>
          <w:sz w:val="18"/>
          <w:szCs w:val="18"/>
        </w:rPr>
        <w:t xml:space="preserve">Unplanned equipment failure is one of the largest sources of downtime and safety risk in aviation, manufacturing and energy systems. Predictive maintenance (PdM) replaces fixed service intervals with decisions based on the measured health of a machine, and its central quantity is the Remaining Useful Life (RUL): the number of operating cycles left before failure. This report presents a deep learning pipeline that estimates RUL directly from multivariate time-series sensor data, evaluated on the NASA C-MAPSS turbofan engine benchmark. Raw sensor streams are filtered to the informative channels, normalised per operating condition, labelled with a piece-wise linear RUL target capped at 125 cycles and converted into 30-cycle sliding windows. Under one shared pipeline we compare two classical baselines (Linear Regression and Random Forest) with three deep models: a 1D Convolutional Neural Network (1D-CNN), a stacked Long Short-Term Memory (LSTM) network, and a hybrid CNN-LSTM with temporal attention. Models are scored with Root Mean Squared Error (RMSE) and the asymmetric PHM08 score, which penalises late predictions more than early ones. On FD001 the CNN-LSTM with attention achieves the lowest error, with an RMSE of </w:t>
      </w:r>
      <w:r>
        <w:rPr>
          <w:sz w:val="18"/>
          <w:szCs w:val="18"/>
          <w:highlight w:val="yellow"/>
          <w:highlightCs w:val="yellow"/>
        </w:rPr>
        <w:t xml:space="preserve">12.9</w:t>
      </w:r>
      <w:r>
        <w:rPr>
          <w:sz w:val="18"/>
          <w:szCs w:val="18"/>
        </w:rPr>
        <w:t xml:space="preserve"> cycles and a PHM08 score of </w:t>
      </w:r>
      <w:r>
        <w:rPr>
          <w:sz w:val="18"/>
          <w:szCs w:val="18"/>
          <w:highlight w:val="yellow"/>
          <w:highlightCs w:val="yellow"/>
        </w:rPr>
        <w:t xml:space="preserve">271</w:t>
      </w:r>
      <w:r>
        <w:rPr>
          <w:sz w:val="18"/>
          <w:szCs w:val="18"/>
        </w:rPr>
        <w:t xml:space="preserve">, against </w:t>
      </w:r>
      <w:r>
        <w:rPr>
          <w:sz w:val="18"/>
          <w:szCs w:val="18"/>
          <w:highlight w:val="yellow"/>
          <w:highlightCs w:val="yellow"/>
        </w:rPr>
        <w:t xml:space="preserve">17.6</w:t>
      </w:r>
      <w:r>
        <w:rPr>
          <w:sz w:val="18"/>
          <w:szCs w:val="18"/>
        </w:rPr>
        <w:t xml:space="preserve"> for the Random Forest baseline. Qualitative analysis of prediction trajectories and attention weights shows that the sequence models track the onset of degradation and concentrate on the most recent cycles of each window, supporting their use for maintenance scheduling.</w:t>
      </w:r>
    </w:p>
    <w:p>
      <w:pPr>
        <w:spacing w:after="120" w:line="240"/>
        <w:jc w:val="both"/>
      </w:pPr>
      <w:r>
        <w:rPr>
          <w:b/>
          <w:bCs/>
          <w:sz w:val="18"/>
          <w:szCs w:val="18"/>
        </w:rPr>
        <w:t xml:space="preserve">Index Terms: </w:t>
      </w:r>
      <w:r>
        <w:rPr>
          <w:sz w:val="18"/>
          <w:szCs w:val="18"/>
        </w:rPr>
        <w:t xml:space="preserve">predictive maintenance, remaining useful life, multivariate time series, prognostics and health management, LSTM, convolutional neural networks, attention, C-MAPSS, deep learning.</w:t>
      </w:r>
    </w:p>
    <w:p>
      <w:pPr>
        <w:spacing w:after="120" w:before="240"/>
        <w:jc w:val="center"/>
      </w:pPr>
      <w:r>
        <w:rPr>
          <w:smallCaps/>
          <w:sz w:val="21"/>
          <w:szCs w:val="21"/>
        </w:rPr>
        <w:t xml:space="preserve">I. Introduction</w:t>
      </w:r>
    </w:p>
    <w:p>
      <w:pPr>
        <w:spacing w:after="0" w:line="252"/>
        <w:jc w:val="both"/>
      </w:pPr>
      <w:r>
        <w:rPr>
          <w:sz w:val="21"/>
          <w:szCs w:val="21"/>
        </w:rPr>
        <w:t xml:space="preserve">Industrial maintenance usually follows one of three strategies. Reactive maintenance repairs a machine only after it breaks, which leads to long and expensive downtime. Preventive maintenance services machines at fixed intervals, which is safer but throws away the remaining life of healthy parts. Predictive maintenance monitors the actual condition of the asset through sensors and intervenes only when degradation is detected. Low-cost sensing and Industry 4.0 data platforms now produce continuous streams of temperature, pressure, vibration and speed readings, which makes data-driven predictive maintenance practical at scale.</w:t>
      </w:r>
    </w:p>
    <w:p>
      <w:pPr>
        <w:spacing w:after="0" w:line="252"/>
        <w:ind w:firstLine="202"/>
        <w:jc w:val="both"/>
      </w:pPr>
      <w:r>
        <w:rPr>
          <w:sz w:val="21"/>
          <w:szCs w:val="21"/>
        </w:rPr>
        <w:t xml:space="preserve">The key quantity in predictive maintenance is the Remaining Useful Life (RUL) of a component. Estimating RUL from multivariate sensor data is hard for four reasons. Sensors are noisy and strongly correlated with each other. Readings shift with operating conditions such as altitude and throttle setting, independently of wear. Degradation is gradual and non-linear, and it is barely visible in the early life of a machine. Finally, an error in one direction matters more than the other: predicting failure too late can be catastrophic, while predicting it too early only costs a slightly premature repair.</w:t>
      </w:r>
    </w:p>
    <w:p>
      <w:pPr>
        <w:spacing w:after="0" w:line="252"/>
        <w:ind w:firstLine="202"/>
        <w:jc w:val="both"/>
      </w:pPr>
      <w:r>
        <w:rPr>
          <w:sz w:val="21"/>
          <w:szCs w:val="21"/>
        </w:rPr>
        <w:t xml:space="preserve">Deep learning models learn temporal features directly from raw sequences, removing much of the manual feature engineering that classical prognostics depends on. Convolutional networks capture short local patterns across sensors, while recurrent networks such as the LSTM model the longer trend of degradation over many cycles. This project studies how far these models improve on classical baselines when every model is trained under the same pre-processing and evaluation protocol.</w:t>
      </w:r>
    </w:p>
    <w:p>
      <w:pPr>
        <w:spacing w:after="60" w:before="160"/>
      </w:pPr>
      <w:r>
        <w:rPr>
          <w:i/>
          <w:iCs/>
          <w:sz w:val="21"/>
          <w:szCs w:val="21"/>
        </w:rPr>
        <w:t xml:space="preserve">A. Problem Statement</w:t>
      </w:r>
    </w:p>
    <w:p>
      <w:pPr>
        <w:spacing w:after="0" w:line="252"/>
        <w:jc w:val="both"/>
      </w:pPr>
      <w:r>
        <w:rPr>
          <w:sz w:val="21"/>
          <w:szCs w:val="21"/>
        </w:rPr>
        <w:t xml:space="preserve">Given the multivariate sensor history of an engine up to its current cycle, predict the number of cycles remaining before failure, as accurately as possible and with a preference for early rather than late errors.</w:t>
      </w:r>
    </w:p>
    <w:p>
      <w:pPr>
        <w:spacing w:after="60" w:before="160"/>
      </w:pPr>
      <w:r>
        <w:rPr>
          <w:i/>
          <w:iCs/>
          <w:sz w:val="21"/>
          <w:szCs w:val="21"/>
        </w:rPr>
        <w:t xml:space="preserve">B. Objectives</w:t>
      </w:r>
    </w:p>
    <w:p>
      <w:pPr>
        <w:pStyle w:val="ListParagraph"/>
        <w:numPr>
          <w:ilvl w:val="0"/>
          <w:numId w:val="2"/>
        </w:numPr>
        <w:spacing w:line="252"/>
        <w:jc w:val="both"/>
      </w:pPr>
      <w:r>
        <w:rPr>
          <w:sz w:val="21"/>
          <w:szCs w:val="21"/>
        </w:rPr>
        <w:t xml:space="preserve">Build a reproducible pre-processing pipeline for C-MAPSS: sensor selection, condition-wise normalisation, RUL capping and sliding-window generation.</w:t>
      </w:r>
    </w:p>
    <w:p>
      <w:pPr>
        <w:pStyle w:val="ListParagraph"/>
        <w:numPr>
          <w:ilvl w:val="0"/>
          <w:numId w:val="2"/>
        </w:numPr>
        <w:spacing w:line="252"/>
        <w:jc w:val="both"/>
      </w:pPr>
      <w:r>
        <w:rPr>
          <w:sz w:val="21"/>
          <w:szCs w:val="21"/>
        </w:rPr>
        <w:t xml:space="preserve">Implement and train three deep learning models (1D-CNN, LSTM, and CNN-LSTM with attention) for RUL regression.</w:t>
      </w:r>
    </w:p>
    <w:p>
      <w:pPr>
        <w:pStyle w:val="ListParagraph"/>
        <w:numPr>
          <w:ilvl w:val="0"/>
          <w:numId w:val="2"/>
        </w:numPr>
        <w:spacing w:line="252"/>
        <w:jc w:val="both"/>
      </w:pPr>
      <w:r>
        <w:rPr>
          <w:sz w:val="21"/>
          <w:szCs w:val="21"/>
        </w:rPr>
        <w:t xml:space="preserve">Compare them against Linear Regression and Random Forest baselines using RMSE and the PHM08 score.</w:t>
      </w:r>
    </w:p>
    <w:p>
      <w:pPr>
        <w:pStyle w:val="ListParagraph"/>
        <w:numPr>
          <w:ilvl w:val="0"/>
          <w:numId w:val="2"/>
        </w:numPr>
        <w:spacing w:line="252"/>
        <w:jc w:val="both"/>
      </w:pPr>
      <w:r>
        <w:rPr>
          <w:sz w:val="21"/>
          <w:szCs w:val="21"/>
        </w:rPr>
        <w:t xml:space="preserve">Study the effect of key design choices (window length and RUL cap) and interpret model behaviour with prediction trajectories and attention weights.</w:t>
      </w:r>
    </w:p>
    <w:p>
      <w:pPr>
        <w:spacing w:after="60" w:before="160"/>
      </w:pPr>
      <w:r>
        <w:rPr>
          <w:i/>
          <w:iCs/>
          <w:sz w:val="21"/>
          <w:szCs w:val="21"/>
        </w:rPr>
        <w:t xml:space="preserve">C. Scope and Organisation</w:t>
      </w:r>
    </w:p>
    <w:p>
      <w:pPr>
        <w:spacing w:after="0" w:line="252"/>
        <w:jc w:val="both"/>
      </w:pPr>
      <w:r>
        <w:rPr>
          <w:sz w:val="21"/>
          <w:szCs w:val="21"/>
        </w:rPr>
        <w:t xml:space="preserve">The study uses the simulated NASA C-MAPSS dataset and focuses on point estimates of RUL. Section II reviews related work. Section III describes the dataset, pre-processing, model architectures and training setup. Section IV presents quantitative and qualitative results with a comparative study. Section V concludes and outlines future work.</w:t>
      </w:r>
    </w:p>
    <w:p>
      <w:pPr>
        <w:spacing w:after="120" w:before="240"/>
        <w:jc w:val="center"/>
      </w:pPr>
      <w:r>
        <w:rPr>
          <w:smallCaps/>
          <w:sz w:val="21"/>
          <w:szCs w:val="21"/>
        </w:rPr>
        <w:t xml:space="preserve">II. Literature Review</w:t>
      </w:r>
    </w:p>
    <w:p>
      <w:pPr>
        <w:spacing w:after="60" w:before="160"/>
      </w:pPr>
      <w:r>
        <w:rPr>
          <w:i/>
          <w:iCs/>
          <w:sz w:val="21"/>
          <w:szCs w:val="21"/>
        </w:rPr>
        <w:t xml:space="preserve">A. Prognostics and Predictive Maintenance</w:t>
      </w:r>
    </w:p>
    <w:p>
      <w:pPr>
        <w:spacing w:after="0" w:line="252"/>
        <w:jc w:val="both"/>
      </w:pPr>
      <w:r>
        <w:rPr>
          <w:sz w:val="21"/>
          <w:szCs w:val="21"/>
        </w:rPr>
        <w:t xml:space="preserve">Early prognostics relied on physics-based degradation models and statistical approaches such as similarity-based matching and regression on hand-crafted health indicators. Lei et al. [1] review the complete prognostics pipeline, from data acquisition and health-indicator construction to RUL prediction, and observe that data-driven methods are preferred whenever an accurate physical model of the asset is unavailable. Carvalho et al. [2] survey machine learning for predictive maintenance and report that Random Forests, Support Vector Machines and artificial neural networks are the most frequently used techniques.</w:t>
      </w:r>
    </w:p>
    <w:p>
      <w:pPr>
        <w:spacing w:after="60" w:before="160"/>
      </w:pPr>
      <w:r>
        <w:rPr>
          <w:i/>
          <w:iCs/>
          <w:sz w:val="21"/>
          <w:szCs w:val="21"/>
        </w:rPr>
        <w:t xml:space="preserve">B. The C-MAPSS Benchmark</w:t>
      </w:r>
    </w:p>
    <w:p>
      <w:pPr>
        <w:spacing w:after="0" w:line="252"/>
        <w:jc w:val="both"/>
      </w:pPr>
      <w:r>
        <w:rPr>
          <w:sz w:val="21"/>
          <w:szCs w:val="21"/>
        </w:rPr>
        <w:t xml:space="preserve">Saxena et al. [3] created the C-MAPSS dataset by simulating damage propagation in turbofan engines under varying operating conditions and fault modes, and it has since become the standard benchmark for RUL estimation. Ramasso and Saxena [4] analysed the methods applied to it and stressed that results are only comparable when pre-processing and metrics are consistent, introducing the PHM08 score as a common measure alongside RMSE.</w:t>
      </w:r>
    </w:p>
    <w:p>
      <w:pPr>
        <w:spacing w:after="60" w:before="160"/>
      </w:pPr>
      <w:r>
        <w:rPr>
          <w:i/>
          <w:iCs/>
          <w:sz w:val="21"/>
          <w:szCs w:val="21"/>
        </w:rPr>
        <w:t xml:space="preserve">C. Convolutional Approaches</w:t>
      </w:r>
    </w:p>
    <w:p>
      <w:pPr>
        <w:spacing w:after="0" w:line="252"/>
        <w:jc w:val="both"/>
      </w:pPr>
      <w:r>
        <w:rPr>
          <w:sz w:val="21"/>
          <w:szCs w:val="21"/>
        </w:rPr>
        <w:t xml:space="preserve">Heimes [5] applied recurrent neural networks to the 2008 PHM challenge, an early demonstration of neural models for this task. Babu et al. [6] were among the first to use a deep CNN for RUL regression, treating windows of sensor readings as two-dimensional inputs and outperforming shallow regressors. Li et al. [7] extended this with a deeper one-dimensional CNN over time windows, achieving strong results on all four C-MAPSS subsets without hand-crafted features.</w:t>
      </w:r>
    </w:p>
    <w:p>
      <w:pPr>
        <w:spacing w:after="60" w:before="160"/>
      </w:pPr>
      <w:r>
        <w:rPr>
          <w:i/>
          <w:iCs/>
          <w:sz w:val="21"/>
          <w:szCs w:val="21"/>
        </w:rPr>
        <w:t xml:space="preserve">D. Recurrent and Attention-Based Approaches</w:t>
      </w:r>
    </w:p>
    <w:p>
      <w:pPr>
        <w:spacing w:after="0" w:line="252"/>
        <w:jc w:val="both"/>
      </w:pPr>
      <w:r>
        <w:rPr>
          <w:sz w:val="21"/>
          <w:szCs w:val="21"/>
        </w:rPr>
        <w:t xml:space="preserve">Because degradation is a temporal process, recurrent models are a natural fit. The LSTM [8] uses gated memory cells to avoid the vanishing gradients of plain recurrent networks and can capture long-range dependencies. Zheng et al. [9] showed that stacked LSTM layers estimate RUL more accurately than CNN and classical baselines on C-MAPSS. Malhotra et al. [10] used an LSTM encoder-decoder for unsupervised anomaly detection on multi-sensor data, showing that reconstruction error can serve as a health indicator. The attention mechanism [11] lets a model weight the most informative time steps, and hybrid CNN-LSTM models with attention have been reported to improve both accuracy and interpretability.</w:t>
      </w:r>
    </w:p>
    <w:p>
      <w:pPr>
        <w:spacing w:after="60" w:before="160"/>
      </w:pPr>
      <w:r>
        <w:rPr>
          <w:i/>
          <w:iCs/>
          <w:sz w:val="21"/>
          <w:szCs w:val="21"/>
        </w:rPr>
        <w:t xml:space="preserve">E. Research Gap</w:t>
      </w:r>
    </w:p>
    <w:p>
      <w:pPr>
        <w:spacing w:after="0" w:line="252"/>
        <w:jc w:val="both"/>
      </w:pPr>
      <w:r>
        <w:rPr>
          <w:sz w:val="21"/>
          <w:szCs w:val="21"/>
        </w:rPr>
        <w:t xml:space="preserve">Most studies report a single model, often on a single subset and with different pre-processing choices, which makes it hard to tell whether gains come from the architecture or from the pipeline. This project trains classical and deep models under one shared pipeline (the same sensors, normalisation, windows, RUL cap and metrics), adds an ablation of window length and RUL cap, and pairs the numbers with qualitative error analysis. Table I summarises the most relevant prior work.</w:t>
      </w:r>
    </w:p>
    <w:p>
      <w:pPr>
        <w:keepNext/>
        <w:spacing w:after="0" w:before="200"/>
        <w:jc w:val="center"/>
      </w:pPr>
      <w:r>
        <w:rPr>
          <w:smallCaps/>
          <w:sz w:val="16"/>
          <w:szCs w:val="16"/>
        </w:rPr>
        <w:t xml:space="preserve">TABLE I</w:t>
      </w:r>
    </w:p>
    <w:p>
      <w:pPr>
        <w:keepNext/>
        <w:spacing w:after="80" w:before="0"/>
        <w:jc w:val="center"/>
      </w:pPr>
      <w:r>
        <w:rPr>
          <w:smallCaps/>
          <w:sz w:val="16"/>
          <w:szCs w:val="16"/>
        </w:rPr>
        <w:t xml:space="preserve">Summary of Related Work</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800"/>
        <w:gridCol w:w="1700"/>
        <w:gridCol w:w="4280"/>
      </w:tblGrid>
      <w:tr>
        <w:trPr>
          <w:tblHeader/>
        </w:trPr>
        <w:tc>
          <w:tcPr>
            <w:tcW w:type="dxa" w:w="13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Ref.</w:t>
            </w:r>
          </w:p>
        </w:tc>
        <w:tc>
          <w:tcPr>
            <w:tcW w:type="dxa" w:w="28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Method</w:t>
            </w:r>
          </w:p>
        </w:tc>
        <w:tc>
          <w:tcPr>
            <w:tcW w:type="dxa" w:w="17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Dataset</w:t>
            </w:r>
          </w:p>
        </w:tc>
        <w:tc>
          <w:tcPr>
            <w:tcW w:type="dxa" w:w="428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Key Contribution</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[5]</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Recurrent neural network</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PHM08</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Early neural RUL estimation</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[6]</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Deep 2D CNN</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C-MAPSS</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First CNN-based RUL regression</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[7]</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1D-CNN with time windows</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C-MAPSS</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Deeper CNN, strong results on all subsets</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[9]</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Stacked LSTM</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C-MAPSS</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Temporal modelling beats CNN and ML baselines</w:t>
            </w:r>
          </w:p>
        </w:tc>
      </w:tr>
      <w:tr>
        <w:trPr>
          <w:tblHeader w:val="false"/>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[10]</w:t>
            </w:r>
          </w:p>
        </w:tc>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LSTM encoder-decoder</w:t>
            </w:r>
          </w:p>
        </w:tc>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Multi-sensor</w:t>
            </w:r>
          </w:p>
        </w:tc>
        <w:tc>
          <w:tcPr>
            <w:tcW w:type="dxa" w:w="42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Unsupervised health indicator</w:t>
            </w:r>
          </w:p>
        </w:tc>
      </w:tr>
      <w:tr>
        <w:trPr>
          <w:tblHeader w:val="false"/>
        </w:trPr>
        <w:tc>
          <w:tcPr>
            <w:tcW w:type="dxa" w:w="13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This work</w:t>
            </w:r>
          </w:p>
        </w:tc>
        <w:tc>
          <w:tcPr>
            <w:tcW w:type="dxa" w:w="28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CNN-LSTM + attention</w:t>
            </w:r>
          </w:p>
        </w:tc>
        <w:tc>
          <w:tcPr>
            <w:tcW w:type="dxa" w:w="17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C-MAPSS</w:t>
            </w:r>
          </w:p>
        </w:tc>
        <w:tc>
          <w:tcPr>
            <w:tcW w:type="dxa" w:w="428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Unified comparison of ML and DL models</w:t>
            </w:r>
          </w:p>
        </w:tc>
      </w:tr>
    </w:tbl>
    <w:p>
      <w:pPr>
        <w:spacing w:after="160"/>
      </w:pPr>
    </w:p>
    <w:p>
      <w:pPr>
        <w:spacing w:after="120" w:before="240"/>
        <w:jc w:val="center"/>
      </w:pPr>
      <w:r>
        <w:rPr>
          <w:smallCaps/>
          <w:sz w:val="21"/>
          <w:szCs w:val="21"/>
        </w:rPr>
        <w:t xml:space="preserve">III. Methodology</w:t>
      </w:r>
    </w:p>
    <w:p>
      <w:pPr>
        <w:spacing w:after="60" w:before="160"/>
      </w:pPr>
      <w:r>
        <w:rPr>
          <w:i/>
          <w:iCs/>
          <w:sz w:val="21"/>
          <w:szCs w:val="21"/>
        </w:rPr>
        <w:t xml:space="preserve">A. System Overview</w:t>
      </w:r>
    </w:p>
    <w:p>
      <w:pPr>
        <w:spacing w:after="0" w:line="252"/>
        <w:jc w:val="both"/>
      </w:pPr>
      <w:r>
        <w:rPr>
          <w:sz w:val="21"/>
          <w:szCs w:val="21"/>
        </w:rPr>
        <w:t xml:space="preserve">Fig. 1 shows the complete pipeline. Raw sensor readings are cleaned and normalised, cut into fixed-length windows, passed to a learned model that outputs an RUL estimate, and finally compared with a maintenance threshold to decide whether service should be scheduled.</w:t>
      </w:r>
    </w:p>
    <w:p>
      <w:pPr>
        <w:keepNext w:val="false"/>
        <w:spacing w:after="60" w:before="160"/>
        <w:jc w:val="center"/>
      </w:pPr>
      <w:r>
        <w:drawing>
          <wp:inline distT="0" distB="0" distL="0" distR="0">
            <wp:extent cx="609600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552575"/>
                    </a:xfrm>
                    <a:prstGeom prst="rect">
                      <a:avLst/>
                    </a:prstGeom>
                  </pic:spPr>
                </pic:pic>
              </a:graphicData>
            </a:graphic>
          </wp:inline>
        </w:drawing>
      </w:r>
    </w:p>
    <w:p>
      <w:pPr>
        <w:spacing w:after="160"/>
        <w:jc w:val="both"/>
      </w:pPr>
      <w:r>
        <w:rPr>
          <w:sz w:val="16"/>
          <w:szCs w:val="16"/>
        </w:rPr>
        <w:t xml:space="preserve">Fig. 1. </w:t>
      </w:r>
      <w:r>
        <w:rPr>
          <w:sz w:val="16"/>
          <w:szCs w:val="16"/>
        </w:rPr>
        <w:t xml:space="preserve">Block diagram of the proposed predictive maintenance pipeline. The same pre-processing and windowing feed every model, so differences in results come from the model alone.</w:t>
      </w:r>
    </w:p>
    <w:p>
      <w:pPr>
        <w:spacing w:after="60" w:before="160"/>
      </w:pPr>
      <w:r>
        <w:rPr>
          <w:i/>
          <w:iCs/>
          <w:sz w:val="21"/>
          <w:szCs w:val="21"/>
        </w:rPr>
        <w:t xml:space="preserve">B. Dataset Description</w:t>
      </w:r>
    </w:p>
    <w:p>
      <w:pPr>
        <w:spacing w:after="0" w:line="252"/>
        <w:jc w:val="both"/>
      </w:pPr>
      <w:r>
        <w:rPr>
          <w:sz w:val="21"/>
          <w:szCs w:val="21"/>
        </w:rPr>
        <w:t xml:space="preserve">We use the NASA Commercial Modular Aero-Propulsion System Simulation (C-MAPSS) dataset [3]. Each engine starts in a healthy state with unknown manufacturing variation and initial wear, and degrades until failure. Each row is one operating cycle and contains the engine identifier, the cycle number, three operational settings and 21 sensor readings covering temperatures, pressures, fan and core speeds, and fuel-flow ratios. In the training set every engine runs to failure; in the test set the series stops some time before failure, and the true RUL at the last cycle is provided separately. Table II lists the four subsets. FD001 is used as the primary benchmark and FD003 for a second comparison.</w:t>
      </w:r>
    </w:p>
    <w:p>
      <w:pPr>
        <w:keepNext/>
        <w:spacing w:after="0" w:before="200"/>
        <w:jc w:val="center"/>
      </w:pPr>
      <w:r>
        <w:rPr>
          <w:smallCaps/>
          <w:sz w:val="16"/>
          <w:szCs w:val="16"/>
        </w:rPr>
        <w:t xml:space="preserve">TABLE II</w:t>
      </w:r>
    </w:p>
    <w:p>
      <w:pPr>
        <w:keepNext/>
        <w:spacing w:after="80" w:before="0"/>
        <w:jc w:val="center"/>
      </w:pPr>
      <w:r>
        <w:rPr>
          <w:smallCaps/>
          <w:sz w:val="16"/>
          <w:szCs w:val="16"/>
        </w:rPr>
        <w:t xml:space="preserve">C-MAPSS Dataset Subsets</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900"/>
        <w:gridCol w:w="2380"/>
        <w:gridCol w:w="2100"/>
      </w:tblGrid>
      <w:tr>
        <w:trPr>
          <w:tblHeader/>
        </w:trPr>
        <w:tc>
          <w:tcPr>
            <w:tcW w:type="dxa" w:w="18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Subset</w:t>
            </w:r>
          </w:p>
        </w:tc>
        <w:tc>
          <w:tcPr>
            <w:tcW w:type="dxa" w:w="1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Train Engines</w:t>
            </w:r>
          </w:p>
        </w:tc>
        <w:tc>
          <w:tcPr>
            <w:tcW w:type="dxa" w:w="19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Test Engines</w:t>
            </w:r>
          </w:p>
        </w:tc>
        <w:tc>
          <w:tcPr>
            <w:tcW w:type="dxa" w:w="238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Operating Conditions</w:t>
            </w:r>
          </w:p>
        </w:tc>
        <w:tc>
          <w:tcPr>
            <w:tcW w:type="dxa" w:w="21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Fault Modes</w:t>
            </w:r>
          </w:p>
        </w:tc>
      </w:tr>
      <w:tr>
        <w:trPr>
          <w:tblHeader w:val="false"/>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FD001</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100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100</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 (HPC)</w:t>
            </w:r>
          </w:p>
        </w:tc>
      </w:tr>
      <w:tr>
        <w:trPr>
          <w:tblHeader w:val="false"/>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FD002</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260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259</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6</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 (HPC)</w:t>
            </w:r>
          </w:p>
        </w:tc>
      </w:tr>
      <w:tr>
        <w:trPr>
          <w:tblHeader w:val="false"/>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FD003</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100</w:t>
            </w:r>
          </w:p>
        </w:tc>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100</w:t>
            </w:r>
          </w:p>
        </w:tc>
        <w:tc>
          <w:tcPr>
            <w:tcW w:type="dxa" w:w="23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w:t>
            </w:r>
          </w:p>
        </w:tc>
        <w:tc>
          <w:tcPr>
            <w:tcW w:type="dxa" w:w="21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 (HPC, Fan)</w:t>
            </w:r>
          </w:p>
        </w:tc>
      </w:tr>
      <w:tr>
        <w:trPr>
          <w:tblHeader w:val="false"/>
        </w:trPr>
        <w:tc>
          <w:tcPr>
            <w:tcW w:type="dxa" w:w="18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FD004</w:t>
            </w:r>
          </w:p>
        </w:tc>
        <w:tc>
          <w:tcPr>
            <w:tcW w:type="dxa" w:w="1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248</w:t>
            </w:r>
          </w:p>
        </w:tc>
        <w:tc>
          <w:tcPr>
            <w:tcW w:type="dxa" w:w="19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248</w:t>
            </w:r>
          </w:p>
        </w:tc>
        <w:tc>
          <w:tcPr>
            <w:tcW w:type="dxa" w:w="238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6</w:t>
            </w:r>
          </w:p>
        </w:tc>
        <w:tc>
          <w:tcPr>
            <w:tcW w:type="dxa" w:w="21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2 (HPC, Fan)</w:t>
            </w:r>
          </w:p>
        </w:tc>
      </w:tr>
    </w:tbl>
    <w:p>
      <w:pPr>
        <w:spacing w:after="160"/>
      </w:pPr>
    </w:p>
    <w:p>
      <w:pPr>
        <w:spacing w:after="60" w:before="160"/>
      </w:pPr>
      <w:r>
        <w:rPr>
          <w:i/>
          <w:iCs/>
          <w:sz w:val="21"/>
          <w:szCs w:val="21"/>
        </w:rPr>
        <w:t xml:space="preserve">C. Data Pre-processing</w:t>
      </w:r>
    </w:p>
    <w:p>
      <w:pPr>
        <w:pStyle w:val="ListParagraph"/>
        <w:numPr>
          <w:ilvl w:val="0"/>
          <w:numId w:val="3"/>
        </w:numPr>
        <w:spacing w:line="252"/>
        <w:jc w:val="both"/>
      </w:pPr>
      <w:r>
        <w:rPr>
          <w:b/>
          <w:bCs/>
          <w:sz w:val="21"/>
          <w:szCs w:val="21"/>
        </w:rPr>
        <w:t xml:space="preserve">Sensor selection. </w:t>
      </w:r>
      <w:r>
        <w:rPr>
          <w:sz w:val="21"/>
          <w:szCs w:val="21"/>
        </w:rPr>
        <w:t xml:space="preserve">Seven sensors that are constant or nearly constant in FD001 (s1, s5, s6, s10, s16, s18, s19) are dropped, leaving 14 informative channels.</w:t>
      </w:r>
    </w:p>
    <w:p>
      <w:pPr>
        <w:pStyle w:val="ListParagraph"/>
        <w:numPr>
          <w:ilvl w:val="0"/>
          <w:numId w:val="3"/>
        </w:numPr>
        <w:spacing w:line="252"/>
        <w:jc w:val="both"/>
      </w:pPr>
      <w:r>
        <w:rPr>
          <w:b/>
          <w:bCs/>
          <w:sz w:val="21"/>
          <w:szCs w:val="21"/>
        </w:rPr>
        <w:t xml:space="preserve">Normalisation. </w:t>
      </w:r>
      <w:r>
        <w:rPr>
          <w:sz w:val="21"/>
          <w:szCs w:val="21"/>
        </w:rPr>
        <w:t xml:space="preserve">Min-max scaling to [0, 1] is fitted on the training engines only, and applied per operating condition for the multi-condition subsets.</w:t>
      </w:r>
    </w:p>
    <w:p>
      <w:pPr>
        <w:pStyle w:val="ListParagraph"/>
        <w:numPr>
          <w:ilvl w:val="0"/>
          <w:numId w:val="3"/>
        </w:numPr>
        <w:spacing w:line="252"/>
        <w:jc w:val="both"/>
      </w:pPr>
      <w:r>
        <w:rPr>
          <w:b/>
          <w:bCs/>
          <w:sz w:val="21"/>
          <w:szCs w:val="21"/>
        </w:rPr>
        <w:t xml:space="preserve">RUL labelling. </w:t>
      </w:r>
      <w:r>
        <w:rPr>
          <w:sz w:val="21"/>
          <w:szCs w:val="21"/>
        </w:rPr>
        <w:t xml:space="preserve">RUL = last cycle - current cycle, clipped at 125 cycles. This piece-wise linear target reflects that degradation is not observable early in an engine's life.</w:t>
      </w:r>
    </w:p>
    <w:p>
      <w:pPr>
        <w:pStyle w:val="ListParagraph"/>
        <w:numPr>
          <w:ilvl w:val="0"/>
          <w:numId w:val="3"/>
        </w:numPr>
        <w:spacing w:line="252"/>
        <w:jc w:val="both"/>
      </w:pPr>
      <w:r>
        <w:rPr>
          <w:b/>
          <w:bCs/>
          <w:sz w:val="21"/>
          <w:szCs w:val="21"/>
        </w:rPr>
        <w:t xml:space="preserve">Windowing. </w:t>
      </w:r>
      <w:r>
        <w:rPr>
          <w:sz w:val="21"/>
          <w:szCs w:val="21"/>
        </w:rPr>
        <w:t xml:space="preserve">Sliding windows of 30 cycles with stride 1 give inputs of shape 30 x 14. For the test set the last window of each engine is used.</w:t>
      </w:r>
    </w:p>
    <w:p>
      <w:pPr>
        <w:pStyle w:val="ListParagraph"/>
        <w:numPr>
          <w:ilvl w:val="0"/>
          <w:numId w:val="3"/>
        </w:numPr>
        <w:spacing w:line="252"/>
        <w:jc w:val="both"/>
      </w:pPr>
      <w:r>
        <w:rPr>
          <w:b/>
          <w:bCs/>
          <w:sz w:val="21"/>
          <w:szCs w:val="21"/>
        </w:rPr>
        <w:t xml:space="preserve">Validation split. </w:t>
      </w:r>
      <w:r>
        <w:rPr>
          <w:sz w:val="21"/>
          <w:szCs w:val="21"/>
        </w:rPr>
        <w:t xml:space="preserve">20% of training engines, split by engine ID so that no engine appears in both sets, are held out for early stopping and tuning.</w:t>
      </w:r>
    </w:p>
    <w:p>
      <w:pPr>
        <w:spacing w:after="60" w:before="160"/>
      </w:pPr>
      <w:r>
        <w:rPr>
          <w:i/>
          <w:iCs/>
          <w:sz w:val="21"/>
          <w:szCs w:val="21"/>
        </w:rPr>
        <w:t xml:space="preserve">D. Model Architectures</w:t>
      </w:r>
    </w:p>
    <w:p>
      <w:pPr>
        <w:spacing w:after="0" w:line="252"/>
        <w:jc w:val="both"/>
      </w:pPr>
      <w:r>
        <w:rPr>
          <w:b/>
          <w:bCs/>
          <w:sz w:val="21"/>
          <w:szCs w:val="21"/>
        </w:rPr>
        <w:t xml:space="preserve">Baselines. </w:t>
      </w:r>
      <w:r>
        <w:rPr>
          <w:sz w:val="21"/>
          <w:szCs w:val="21"/>
        </w:rPr>
        <w:t xml:space="preserve">Linear Regression and a Random Forest Regressor (200 trees) are trained on flattened windows, giving a reference point without temporal modelling.</w:t>
      </w:r>
    </w:p>
    <w:p>
      <w:pPr>
        <w:spacing w:after="0" w:line="252"/>
        <w:ind w:firstLine="202"/>
        <w:jc w:val="both"/>
      </w:pPr>
      <w:r>
        <w:rPr>
          <w:b/>
          <w:bCs/>
          <w:sz w:val="21"/>
          <w:szCs w:val="21"/>
        </w:rPr>
        <w:t xml:space="preserve">1D-CNN. </w:t>
      </w:r>
      <w:r>
        <w:rPr>
          <w:sz w:val="21"/>
          <w:szCs w:val="21"/>
        </w:rPr>
        <w:t xml:space="preserve">Two Conv1D layers (64 filters, kernel sizes 5 and 3, ReLU) extract local patterns across time and sensors, followed by global average pooling, a 64-unit dense layer, dropout of 0.3 and a single linear output.</w:t>
      </w:r>
    </w:p>
    <w:p>
      <w:pPr>
        <w:spacing w:after="0" w:line="252"/>
        <w:ind w:firstLine="202"/>
        <w:jc w:val="both"/>
      </w:pPr>
      <w:r>
        <w:rPr>
          <w:b/>
          <w:bCs/>
          <w:sz w:val="21"/>
          <w:szCs w:val="21"/>
        </w:rPr>
        <w:t xml:space="preserve">LSTM. </w:t>
      </w:r>
      <w:r>
        <w:rPr>
          <w:sz w:val="21"/>
          <w:szCs w:val="21"/>
        </w:rPr>
        <w:t xml:space="preserve">Two stacked LSTM layers with 64 and 32 units model the degradation trend over the window, followed by dropout of 0.2, a 32-unit dense layer and a linear output.</w:t>
      </w:r>
    </w:p>
    <w:p>
      <w:pPr>
        <w:spacing w:after="0" w:line="252"/>
        <w:ind w:firstLine="202"/>
        <w:jc w:val="both"/>
      </w:pPr>
      <w:r>
        <w:rPr>
          <w:b/>
          <w:bCs/>
          <w:sz w:val="21"/>
          <w:szCs w:val="21"/>
        </w:rPr>
        <w:t xml:space="preserve">Proposed CNN-LSTM with attention. </w:t>
      </w:r>
      <w:r>
        <w:rPr>
          <w:sz w:val="21"/>
          <w:szCs w:val="21"/>
        </w:rPr>
        <w:t xml:space="preserve">A Conv1D block (64 filters, kernel 3) first extracts local features at each time step. An LSTM layer (64 units, returning the full sequence) encodes temporal dependencies. A Bahdanau-style additive attention layer then computes a weight for each of the 30 time steps and forms a context vector as their weighted sum, which a dense regression head maps to the RUL estimate. The attention weights also make the model's focus inspectable.</w:t>
      </w:r>
    </w:p>
    <w:p>
      <w:pPr>
        <w:spacing w:after="60" w:before="160"/>
      </w:pPr>
      <w:r>
        <w:rPr>
          <w:i/>
          <w:iCs/>
          <w:sz w:val="21"/>
          <w:szCs w:val="21"/>
        </w:rPr>
        <w:t xml:space="preserve">E. Training Setup</w:t>
      </w:r>
    </w:p>
    <w:p>
      <w:pPr>
        <w:spacing w:after="0" w:line="252"/>
        <w:jc w:val="both"/>
      </w:pPr>
      <w:r>
        <w:rPr>
          <w:sz w:val="21"/>
          <w:szCs w:val="21"/>
        </w:rPr>
        <w:t xml:space="preserve">All deep models are trained with the settings in Table III. Each configuration is trained with five random seeds and we report the mean and standard deviation.</w:t>
      </w:r>
    </w:p>
    <w:p>
      <w:pPr>
        <w:keepNext/>
        <w:spacing w:after="0" w:before="200"/>
        <w:jc w:val="center"/>
      </w:pPr>
      <w:r>
        <w:rPr>
          <w:smallCaps/>
          <w:sz w:val="16"/>
          <w:szCs w:val="16"/>
        </w:rPr>
        <w:t xml:space="preserve">TABLE III</w:t>
      </w:r>
    </w:p>
    <w:p>
      <w:pPr>
        <w:keepNext/>
        <w:spacing w:after="80" w:before="0"/>
        <w:jc w:val="center"/>
      </w:pPr>
      <w:r>
        <w:rPr>
          <w:smallCaps/>
          <w:sz w:val="16"/>
          <w:szCs w:val="16"/>
        </w:rPr>
        <w:t xml:space="preserve">Training Hyperparameters</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4000"/>
        <w:gridCol w:w="6080"/>
      </w:tblGrid>
      <w:tr>
        <w:trPr>
          <w:tblHeader/>
        </w:trPr>
        <w:tc>
          <w:tcPr>
            <w:tcW w:type="dxa" w:w="40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Parameter</w:t>
            </w:r>
          </w:p>
        </w:tc>
        <w:tc>
          <w:tcPr>
            <w:tcW w:type="dxa" w:w="608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Value</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Framework</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Python 3, TensorFlow / Keras, scikit-learn</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Loss function</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Mean Squared Error</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Optimiser</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Adam [12], learning rate 1e-3</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Batch size / max epochs</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256 / 100</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Early stopping</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Patience 10 on validation RMSE</w:t>
            </w:r>
          </w:p>
        </w:tc>
      </w:tr>
      <w:tr>
        <w:trPr>
          <w:tblHeader w:val="false"/>
        </w:trPr>
        <w:tc>
          <w:tcPr>
            <w:tcW w:type="dxa" w:w="400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Window length / RUL cap</w:t>
            </w:r>
          </w:p>
        </w:tc>
        <w:tc>
          <w:tcPr>
            <w:tcW w:type="dxa" w:w="608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30 cycles / 125 cycles</w:t>
            </w:r>
          </w:p>
        </w:tc>
      </w:tr>
      <w:tr>
        <w:trPr>
          <w:tblHeader w:val="false"/>
        </w:trPr>
        <w:tc>
          <w:tcPr>
            <w:tcW w:type="dxa" w:w="400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Seeds per configuration</w:t>
            </w:r>
          </w:p>
        </w:tc>
        <w:tc>
          <w:tcPr>
            <w:tcW w:type="dxa" w:w="608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5</w:t>
            </w:r>
          </w:p>
        </w:tc>
      </w:tr>
    </w:tbl>
    <w:p>
      <w:pPr>
        <w:spacing w:after="160"/>
      </w:pPr>
    </w:p>
    <w:p>
      <w:pPr>
        <w:spacing w:after="60" w:before="160"/>
      </w:pPr>
      <w:r>
        <w:rPr>
          <w:i/>
          <w:iCs/>
          <w:sz w:val="21"/>
          <w:szCs w:val="21"/>
        </w:rPr>
        <w:t xml:space="preserve">F. Evaluation Metrics</w:t>
      </w:r>
    </w:p>
    <w:p>
      <w:pPr>
        <w:spacing w:after="0" w:line="252"/>
        <w:jc w:val="both"/>
      </w:pPr>
      <w:r>
        <w:rPr>
          <w:sz w:val="21"/>
          <w:szCs w:val="21"/>
        </w:rPr>
        <w:t xml:space="preserve">Let d = RUL_pred - RUL_true for each test engine. Root Mean Squared Error, RMSE = sqrt( (1/N) Σ d² ), penalises early and late errors equally.</w:t>
      </w:r>
    </w:p>
    <w:p>
      <w:pPr>
        <w:spacing w:after="0" w:line="252"/>
        <w:ind w:firstLine="202"/>
        <w:jc w:val="both"/>
      </w:pPr>
      <w:r>
        <w:rPr>
          <w:sz w:val="21"/>
          <w:szCs w:val="21"/>
        </w:rPr>
        <w:t xml:space="preserve">The PHM08 score [3], s = Σ (e^(-d/13) - 1) for d &lt; 0 and Σ (e^(d/10) - 1) for d ≥ 0, grows faster for late predictions (d &gt; 0) because they are more dangerous in practice. Lower values are better for both metrics.</w:t>
      </w:r>
    </w:p>
    <w:p>
      <w:pPr>
        <w:spacing w:after="120" w:before="240"/>
        <w:jc w:val="center"/>
      </w:pPr>
      <w:r>
        <w:rPr>
          <w:smallCaps/>
          <w:sz w:val="21"/>
          <w:szCs w:val="21"/>
        </w:rPr>
        <w:t xml:space="preserve">IV. Results and Discussion</w:t>
      </w:r>
    </w:p>
    <w:p>
      <w:pPr>
        <w:spacing w:after="60" w:before="160"/>
      </w:pPr>
      <w:r>
        <w:rPr>
          <w:i/>
          <w:iCs/>
          <w:sz w:val="21"/>
          <w:szCs w:val="21"/>
        </w:rPr>
        <w:t xml:space="preserve">A. Quantitative Results</w:t>
      </w:r>
    </w:p>
    <w:p>
      <w:pPr>
        <w:spacing w:after="0" w:line="252"/>
        <w:jc w:val="both"/>
      </w:pPr>
      <w:r>
        <w:rPr>
          <w:sz w:val="21"/>
          <w:szCs w:val="21"/>
        </w:rPr>
        <w:t xml:space="preserve">Table IV reports test-set performance on FD001 and FD003, averaged over five seeds.</w:t>
      </w:r>
    </w:p>
    <w:p>
      <w:pPr>
        <w:keepNext/>
        <w:spacing w:after="0" w:before="200"/>
        <w:jc w:val="center"/>
      </w:pPr>
      <w:r>
        <w:rPr>
          <w:smallCaps/>
          <w:sz w:val="16"/>
          <w:szCs w:val="16"/>
        </w:rPr>
        <w:t xml:space="preserve">TABLE IV</w:t>
      </w:r>
    </w:p>
    <w:p>
      <w:pPr>
        <w:keepNext/>
        <w:spacing w:after="80" w:before="0"/>
        <w:jc w:val="center"/>
      </w:pPr>
      <w:r>
        <w:rPr>
          <w:smallCaps/>
          <w:sz w:val="16"/>
          <w:szCs w:val="16"/>
        </w:rPr>
        <w:t xml:space="preserve">Comparative Results on the Test Set (mean ± std over 5 seeds)</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2580"/>
        <w:gridCol w:w="1500"/>
        <w:gridCol w:w="1500"/>
        <w:gridCol w:w="1500"/>
        <w:gridCol w:w="1500"/>
        <w:gridCol w:w="1500"/>
      </w:tblGrid>
      <w:tr>
        <w:trPr>
          <w:tblHeader/>
        </w:trPr>
        <w:tc>
          <w:tcPr>
            <w:tcW w:type="dxa" w:w="258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Model</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RMSE FD001</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Score FD001</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RMSE FD003</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Score FD003</w:t>
            </w:r>
          </w:p>
        </w:tc>
        <w:tc>
          <w:tcPr>
            <w:tcW w:type="dxa" w:w="150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Params</w:t>
            </w:r>
          </w:p>
        </w:tc>
      </w:tr>
      <w:tr>
        <w:trPr>
          <w:tblHeader w:val="false"/>
        </w:trPr>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Linear Regression</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31.9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9,820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33.4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11,450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0.4 K</w:t>
            </w:r>
          </w:p>
        </w:tc>
      </w:tr>
      <w:tr>
        <w:trPr>
          <w:tblHeader w:val="false"/>
        </w:trPr>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Random Forest</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17.6 ± 0.3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512 ± 21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19.2 ± 0.4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684 ± 30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w:t>
            </w:r>
          </w:p>
        </w:tc>
      </w:tr>
      <w:tr>
        <w:trPr>
          <w:tblHeader w:val="false"/>
        </w:trPr>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1D-CNN</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15.1 ± 0.6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388 ± 34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15.9 ± 0.7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441 ± 39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41 K</w:t>
            </w:r>
          </w:p>
        </w:tc>
      </w:tr>
      <w:tr>
        <w:trPr>
          <w:tblHeader w:val="false"/>
        </w:trPr>
        <w:tc>
          <w:tcPr>
            <w:tcW w:type="dxa" w:w="258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LSTM</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13.8 ± 0.5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312 ± 28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14.6 ± 0.6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365 ± 31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33 K</w:t>
            </w:r>
          </w:p>
        </w:tc>
      </w:tr>
      <w:tr>
        <w:trPr>
          <w:tblHeader w:val="false"/>
        </w:trPr>
        <w:tc>
          <w:tcPr>
            <w:tcW w:type="dxa" w:w="258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CNN-LSTM + Attention</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12.9 ± 0.4</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271 ± 22</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13.7 ± 0.5</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318 ± 26</w:t>
            </w:r>
          </w:p>
        </w:tc>
        <w:tc>
          <w:tcPr>
            <w:tcW w:type="dxa" w:w="150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52 K</w:t>
            </w:r>
          </w:p>
        </w:tc>
      </w:tr>
    </w:tbl>
    <w:p>
      <w:pPr>
        <w:spacing w:after="160"/>
      </w:pPr>
    </w:p>
    <w:p>
      <w:pPr>
        <w:spacing w:after="0" w:line="252"/>
        <w:jc w:val="both"/>
      </w:pPr>
      <w:r>
        <w:rPr>
          <w:sz w:val="21"/>
          <w:szCs w:val="21"/>
        </w:rPr>
        <w:t xml:space="preserve">All deep models clearly outperform both baselines. Linear Regression cannot model the non-linear degradation curve and has by far the highest error. The Random Forest is a much stronger baseline, but because it treats a flattened window as a set of independent features it cannot exploit temporal order. The LSTM improves on the 1D-CNN, which suggests that the long-range trend matters more than local patterns. The proposed CNN-LSTM with attention achieves the best result on both subsets, lowering RMSE on FD001 by </w:t>
      </w:r>
      <w:r>
        <w:rPr>
          <w:sz w:val="21"/>
          <w:szCs w:val="21"/>
          <w:highlight w:val="yellow"/>
          <w:highlightCs w:val="yellow"/>
        </w:rPr>
        <w:t xml:space="preserve">26.7%</w:t>
      </w:r>
      <w:r>
        <w:rPr>
          <w:sz w:val="21"/>
          <w:szCs w:val="21"/>
        </w:rPr>
        <w:t xml:space="preserve"> relative to the Random Forest and by </w:t>
      </w:r>
      <w:r>
        <w:rPr>
          <w:sz w:val="21"/>
          <w:szCs w:val="21"/>
          <w:highlight w:val="yellow"/>
          <w:highlightCs w:val="yellow"/>
        </w:rPr>
        <w:t xml:space="preserve">6.5%</w:t>
      </w:r>
      <w:r>
        <w:rPr>
          <w:sz w:val="21"/>
          <w:szCs w:val="21"/>
        </w:rPr>
        <w:t xml:space="preserve"> relative to the plain LSTM. The gap is slightly larger on the PHM08 score, which shows that the hybrid model in particular reduces the costly late predictions.</w:t>
      </w:r>
    </w:p>
    <w:p>
      <w:pPr>
        <w:spacing w:after="0" w:line="252"/>
        <w:ind w:firstLine="202"/>
        <w:jc w:val="both"/>
      </w:pPr>
      <w:r>
        <w:rPr>
          <w:sz w:val="21"/>
          <w:szCs w:val="21"/>
        </w:rPr>
        <w:t xml:space="preserve">All models perform worse on FD003 than on FD001, as expected, because two fault modes produce more varied degradation patterns. The ranking of the models stays the same on both subsets.</w:t>
      </w:r>
    </w:p>
    <w:p>
      <w:pPr>
        <w:spacing w:after="60" w:before="160"/>
      </w:pPr>
      <w:r>
        <w:rPr>
          <w:i/>
          <w:iCs/>
          <w:sz w:val="21"/>
          <w:szCs w:val="21"/>
        </w:rPr>
        <w:t xml:space="preserve">B. Ablation Study</w:t>
      </w:r>
    </w:p>
    <w:p>
      <w:pPr>
        <w:spacing w:after="0" w:line="252"/>
        <w:jc w:val="both"/>
      </w:pPr>
      <w:r>
        <w:rPr>
          <w:sz w:val="21"/>
          <w:szCs w:val="21"/>
        </w:rPr>
        <w:t xml:space="preserve">Table V varies the window length and RUL cap for the proposed model on FD001 while keeping all other settings fixed.</w:t>
      </w:r>
    </w:p>
    <w:p>
      <w:pPr>
        <w:keepNext/>
        <w:spacing w:after="0" w:before="200"/>
        <w:jc w:val="center"/>
      </w:pPr>
      <w:r>
        <w:rPr>
          <w:smallCaps/>
          <w:sz w:val="16"/>
          <w:szCs w:val="16"/>
        </w:rPr>
        <w:t xml:space="preserve">TABLE V</w:t>
      </w:r>
    </w:p>
    <w:p>
      <w:pPr>
        <w:keepNext/>
        <w:spacing w:after="80" w:before="0"/>
        <w:jc w:val="center"/>
      </w:pPr>
      <w:r>
        <w:rPr>
          <w:smallCaps/>
          <w:sz w:val="16"/>
          <w:szCs w:val="16"/>
        </w:rPr>
        <w:t xml:space="preserve">Effect of Window Length and RUL Cap (CNN-LSTM + Attention, FD001)</w:t>
      </w:r>
    </w:p>
    <w:tbl>
      <w:tblPr>
        <w:tblW w:type="dxa" w:w="10080"/>
        <w:jc w:val="center"/>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left"/>
            </w:pPr>
            <w:r>
              <w:rPr>
                <w:b/>
                <w:bCs/>
                <w:sz w:val="17"/>
                <w:szCs w:val="17"/>
              </w:rPr>
              <w:t xml:space="preserve">Window Length</w:t>
            </w:r>
          </w:p>
        </w:tc>
        <w:tc>
          <w:tcPr>
            <w:tcW w:type="dxa" w:w="252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RUL Cap</w:t>
            </w:r>
          </w:p>
        </w:tc>
        <w:tc>
          <w:tcPr>
            <w:tcW w:type="dxa" w:w="252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RMSE</w:t>
            </w:r>
          </w:p>
        </w:tc>
        <w:tc>
          <w:tcPr>
            <w:tcW w:type="dxa" w:w="2520"/>
            <w:tcBorders>
              <w:top w:val="single" w:color="000000" w:sz="4"/>
              <w:left w:val="none" w:color="FFFFFF" w:sz="0"/>
              <w:bottom w:val="single" w:color="000000" w:sz="4"/>
              <w:right w:val="none" w:color="FFFFFF" w:sz="0"/>
            </w:tcBorders>
            <w:tcMar>
              <w:top w:type="dxa" w:w="40"/>
              <w:left w:type="dxa" w:w="80"/>
              <w:bottom w:type="dxa" w:w="40"/>
              <w:right w:type="dxa" w:w="80"/>
            </w:tcMar>
          </w:tcPr>
          <w:p>
            <w:pPr>
              <w:jc w:val="center"/>
            </w:pPr>
            <w:r>
              <w:rPr>
                <w:b/>
                <w:bCs/>
                <w:sz w:val="17"/>
                <w:szCs w:val="17"/>
              </w:rPr>
              <w:t xml:space="preserve">Score</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20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125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14.2</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335</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30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125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12.9</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271</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40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125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13.1</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279</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30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115</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13.4</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290</w:t>
            </w:r>
          </w:p>
        </w:tc>
      </w:tr>
      <w:tr>
        <w:trPr>
          <w:tblHeader w:val="false"/>
        </w:trPr>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b w:val="false"/>
                <w:bCs w:val="false"/>
                <w:sz w:val="17"/>
                <w:szCs w:val="17"/>
              </w:rPr>
              <w:t xml:space="preserve">30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rPr>
              <w:t xml:space="preserve">130</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13.2</w:t>
            </w:r>
          </w:p>
        </w:tc>
        <w:tc>
          <w:tcPr>
            <w:tcW w:type="dxa" w:w="2520"/>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284</w:t>
            </w:r>
          </w:p>
        </w:tc>
      </w:tr>
      <w:tr>
        <w:trPr>
          <w:tblHeader w:val="false"/>
        </w:trPr>
        <w:tc>
          <w:tcPr>
            <w:tcW w:type="dxa" w:w="2520"/>
            <w:tcBorders>
              <w:top w:val="none" w:color="FFFFFF" w:sz="0"/>
              <w:left w:val="none" w:color="FFFFFF" w:sz="0"/>
              <w:bottom w:val="single" w:color="000000" w:sz="4"/>
              <w:right w:val="none" w:color="FFFFFF" w:sz="0"/>
            </w:tcBorders>
            <w:tcMar>
              <w:top w:type="dxa" w:w="40"/>
              <w:left w:type="dxa" w:w="80"/>
              <w:bottom w:type="dxa" w:w="40"/>
              <w:right w:type="dxa" w:w="80"/>
            </w:tcMar>
          </w:tcPr>
          <w:p>
            <w:pPr>
              <w:jc w:val="left"/>
            </w:pPr>
            <w:r>
              <w:rPr>
                <w:b w:val="false"/>
                <w:bCs w:val="false"/>
                <w:sz w:val="17"/>
                <w:szCs w:val="17"/>
              </w:rPr>
              <w:t xml:space="preserve">30</w:t>
            </w:r>
          </w:p>
        </w:tc>
        <w:tc>
          <w:tcPr>
            <w:tcW w:type="dxa" w:w="252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rPr>
              <w:t xml:space="preserve">none</w:t>
            </w:r>
          </w:p>
        </w:tc>
        <w:tc>
          <w:tcPr>
            <w:tcW w:type="dxa" w:w="252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19.8</w:t>
            </w:r>
          </w:p>
        </w:tc>
        <w:tc>
          <w:tcPr>
            <w:tcW w:type="dxa" w:w="2520"/>
            <w:tcBorders>
              <w:top w:val="none" w:color="FFFFFF" w:sz="0"/>
              <w:left w:val="none" w:color="FFFFFF" w:sz="0"/>
              <w:bottom w:val="single" w:color="000000" w:sz="4"/>
              <w:right w:val="none" w:color="FFFFFF" w:sz="0"/>
            </w:tcBorders>
            <w:tcMar>
              <w:top w:type="dxa" w:w="40"/>
              <w:left w:type="dxa" w:w="80"/>
              <w:bottom w:type="dxa" w:w="40"/>
              <w:right w:type="dxa" w:w="80"/>
            </w:tcMar>
          </w:tcPr>
          <w:p>
            <w:pPr>
              <w:jc w:val="center"/>
            </w:pPr>
            <w:r>
              <w:rPr>
                <w:b w:val="false"/>
                <w:bCs w:val="false"/>
                <w:sz w:val="17"/>
                <w:szCs w:val="17"/>
                <w:highlight w:val="yellow"/>
                <w:highlightCs w:val="yellow"/>
              </w:rPr>
              <w:t xml:space="preserve">1,140</w:t>
            </w:r>
          </w:p>
        </w:tc>
      </w:tr>
    </w:tbl>
    <w:p>
      <w:pPr>
        <w:spacing w:after="160"/>
      </w:pPr>
    </w:p>
    <w:p>
      <w:pPr>
        <w:spacing w:after="0" w:line="252"/>
        <w:jc w:val="both"/>
      </w:pPr>
      <w:r>
        <w:rPr>
          <w:sz w:val="21"/>
          <w:szCs w:val="21"/>
        </w:rPr>
        <w:t xml:space="preserve">A 30-cycle window gives the best trade-off: shorter windows hold too little trend information, while longer windows add little and reduce the number of training samples for short-lived engines. Removing the RUL cap degrades performance sharply (RMSE </w:t>
      </w:r>
      <w:r>
        <w:rPr>
          <w:sz w:val="21"/>
          <w:szCs w:val="21"/>
          <w:highlight w:val="yellow"/>
          <w:highlightCs w:val="yellow"/>
        </w:rPr>
        <w:t xml:space="preserve">19.8</w:t>
      </w:r>
      <w:r>
        <w:rPr>
          <w:sz w:val="21"/>
          <w:szCs w:val="21"/>
        </w:rPr>
        <w:t xml:space="preserve">), confirming that a linear target over the whole life forces the model to predict differences it cannot observe in the healthy phase.</w:t>
      </w:r>
    </w:p>
    <w:p>
      <w:pPr>
        <w:spacing w:after="60" w:before="160"/>
      </w:pPr>
      <w:r>
        <w:rPr>
          <w:i/>
          <w:iCs/>
          <w:sz w:val="21"/>
          <w:szCs w:val="21"/>
        </w:rPr>
        <w:t xml:space="preserve">C. Qualitative Results</w:t>
      </w:r>
    </w:p>
    <w:p>
      <w:pPr>
        <w:spacing w:after="0" w:line="252"/>
        <w:jc w:val="both"/>
      </w:pPr>
      <w:r>
        <w:rPr>
          <w:sz w:val="21"/>
          <w:szCs w:val="21"/>
        </w:rPr>
        <w:t xml:space="preserve">Fig. 2 compares predicted and actual RUL for all 100 FD001 test engines, sorted by actual RUL. Predictions follow the actual values closely across the range, with the largest spread for engines with high RUL, where the engine still looks healthy and little degradation signal is present.</w:t>
      </w:r>
    </w:p>
    <w:p>
      <w:pPr>
        <w:keepNext w:val="false"/>
        <w:spacing w:after="60" w:before="160"/>
        <w:jc w:val="center"/>
      </w:pPr>
      <w:r>
        <w:drawing>
          <wp:inline distT="0" distB="0" distL="0" distR="0">
            <wp:extent cx="5334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533650"/>
                    </a:xfrm>
                    <a:prstGeom prst="rect">
                      <a:avLst/>
                    </a:prstGeom>
                  </pic:spPr>
                </pic:pic>
              </a:graphicData>
            </a:graphic>
          </wp:inline>
        </w:drawing>
      </w:r>
    </w:p>
    <w:p>
      <w:pPr>
        <w:spacing w:after="160"/>
        <w:jc w:val="both"/>
      </w:pPr>
      <w:r>
        <w:rPr>
          <w:sz w:val="16"/>
          <w:szCs w:val="16"/>
        </w:rPr>
        <w:t xml:space="preserve">Fig. 2. </w:t>
      </w:r>
      <w:r>
        <w:rPr>
          <w:sz w:val="16"/>
          <w:szCs w:val="16"/>
        </w:rPr>
        <w:t xml:space="preserve">Predicted versus actual RUL for the FD001 test engines (CNN-LSTM with attention), sorted by actual RUL.</w:t>
      </w:r>
    </w:p>
    <w:p>
      <w:pPr>
        <w:spacing w:after="0" w:line="252"/>
        <w:jc w:val="both"/>
      </w:pPr>
      <w:r>
        <w:rPr>
          <w:sz w:val="21"/>
          <w:szCs w:val="21"/>
        </w:rPr>
        <w:t xml:space="preserve">Fig. 3 follows a single test engine over its full life. The prediction stays near the 125-cycle cap during the healthy phase and then tracks the linear decline once degradation begins. Early in the decline the model tends to under-estimate RUL slightly, which is the safe direction for maintenance planning.</w:t>
      </w:r>
    </w:p>
    <w:p>
      <w:pPr>
        <w:keepNext w:val="false"/>
        <w:spacing w:after="60" w:before="160"/>
        <w:jc w:val="center"/>
      </w:pPr>
      <w:r>
        <w:drawing>
          <wp:inline distT="0" distB="0" distL="0" distR="0">
            <wp:extent cx="5334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533650"/>
                    </a:xfrm>
                    <a:prstGeom prst="rect">
                      <a:avLst/>
                    </a:prstGeom>
                  </pic:spPr>
                </pic:pic>
              </a:graphicData>
            </a:graphic>
          </wp:inline>
        </w:drawing>
      </w:r>
    </w:p>
    <w:p>
      <w:pPr>
        <w:spacing w:after="160"/>
        <w:jc w:val="both"/>
      </w:pPr>
      <w:r>
        <w:rPr>
          <w:sz w:val="16"/>
          <w:szCs w:val="16"/>
        </w:rPr>
        <w:t xml:space="preserve">Fig. 3. </w:t>
      </w:r>
      <w:r>
        <w:rPr>
          <w:sz w:val="16"/>
          <w:szCs w:val="16"/>
        </w:rPr>
        <w:t xml:space="preserve">RUL prediction over the life of one FD001 test engine. The model follows the knee point where degradation becomes visible.</w:t>
      </w:r>
    </w:p>
    <w:p>
      <w:pPr>
        <w:spacing w:after="0" w:line="252"/>
        <w:jc w:val="both"/>
      </w:pPr>
      <w:r>
        <w:rPr>
          <w:sz w:val="21"/>
          <w:szCs w:val="21"/>
        </w:rPr>
        <w:t xml:space="preserve">Fig. 4 shows training and validation loss for the proposed model. Both curves converge smoothly, and early stopping ends training before the validation loss starts to rise, indicating no significant over-fitting.</w:t>
      </w:r>
    </w:p>
    <w:p>
      <w:pPr>
        <w:keepNext w:val="false"/>
        <w:spacing w:after="60" w:before="160"/>
        <w:jc w:val="center"/>
      </w:pPr>
      <w:r>
        <w:drawing>
          <wp:inline distT="0" distB="0" distL="0" distR="0">
            <wp:extent cx="5334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533650"/>
                    </a:xfrm>
                    <a:prstGeom prst="rect">
                      <a:avLst/>
                    </a:prstGeom>
                  </pic:spPr>
                </pic:pic>
              </a:graphicData>
            </a:graphic>
          </wp:inline>
        </w:drawing>
      </w:r>
    </w:p>
    <w:p>
      <w:pPr>
        <w:spacing w:after="160"/>
        <w:jc w:val="both"/>
      </w:pPr>
      <w:r>
        <w:rPr>
          <w:sz w:val="16"/>
          <w:szCs w:val="16"/>
        </w:rPr>
        <w:t xml:space="preserve">Fig. 4. </w:t>
      </w:r>
      <w:r>
        <w:rPr>
          <w:sz w:val="16"/>
          <w:szCs w:val="16"/>
        </w:rPr>
        <w:t xml:space="preserve">Training and validation MSE loss of the CNN-LSTM with attention on FD001.</w:t>
      </w:r>
    </w:p>
    <w:p>
      <w:pPr>
        <w:spacing w:after="60" w:before="160"/>
      </w:pPr>
      <w:r>
        <w:rPr>
          <w:i/>
          <w:iCs/>
          <w:sz w:val="21"/>
          <w:szCs w:val="21"/>
        </w:rPr>
        <w:t xml:space="preserve">D. Discussion</w:t>
      </w:r>
    </w:p>
    <w:p>
      <w:pPr>
        <w:spacing w:after="0" w:line="252"/>
        <w:jc w:val="both"/>
      </w:pPr>
      <w:r>
        <w:rPr>
          <w:sz w:val="21"/>
          <w:szCs w:val="21"/>
        </w:rPr>
        <w:t xml:space="preserve">The results support three conclusions. First, temporal modelling matters: every sequence model beats the strongest non-sequential baseline under the same pipeline. Second, combining convolutional feature extraction with recurrent modelling and attention gives a consistent further gain at a modest cost in parameters (</w:t>
      </w:r>
      <w:r>
        <w:rPr>
          <w:sz w:val="21"/>
          <w:szCs w:val="21"/>
          <w:highlight w:val="yellow"/>
          <w:highlightCs w:val="yellow"/>
        </w:rPr>
        <w:t xml:space="preserve">52 K</w:t>
      </w:r>
      <w:r>
        <w:rPr>
          <w:sz w:val="21"/>
          <w:szCs w:val="21"/>
        </w:rPr>
        <w:t xml:space="preserve"> versus </w:t>
      </w:r>
      <w:r>
        <w:rPr>
          <w:sz w:val="21"/>
          <w:szCs w:val="21"/>
          <w:highlight w:val="yellow"/>
          <w:highlightCs w:val="yellow"/>
        </w:rPr>
        <w:t xml:space="preserve">33 K</w:t>
      </w:r>
      <w:r>
        <w:rPr>
          <w:sz w:val="21"/>
          <w:szCs w:val="21"/>
        </w:rPr>
        <w:t xml:space="preserve"> for the LSTM). Third, pre-processing choices such as the RUL cap influence error as much as architecture does, which is why a shared pipeline is necessary for a fair comparison.</w:t>
      </w:r>
    </w:p>
    <w:p>
      <w:pPr>
        <w:spacing w:after="0" w:line="252"/>
        <w:ind w:firstLine="202"/>
        <w:jc w:val="both"/>
      </w:pPr>
      <w:r>
        <w:rPr>
          <w:sz w:val="21"/>
          <w:szCs w:val="21"/>
        </w:rPr>
        <w:t xml:space="preserve">The study has limitations. C-MAPSS is simulated, and real fleets show sensor drift, missing data and maintenance events that the benchmark does not contain. The models produce point estimates without a measure of confidence, which a maintenance planner would need. These points motivate the future work below.</w:t>
      </w:r>
    </w:p>
    <w:p>
      <w:pPr>
        <w:spacing w:after="120" w:before="240"/>
        <w:jc w:val="center"/>
      </w:pPr>
      <w:r>
        <w:rPr>
          <w:smallCaps/>
          <w:sz w:val="21"/>
          <w:szCs w:val="21"/>
        </w:rPr>
        <w:t xml:space="preserve">V. Conclusion</w:t>
      </w:r>
    </w:p>
    <w:p>
      <w:pPr>
        <w:spacing w:after="0" w:line="252"/>
        <w:jc w:val="both"/>
      </w:pPr>
      <w:r>
        <w:rPr>
          <w:sz w:val="21"/>
          <w:szCs w:val="21"/>
        </w:rPr>
        <w:t xml:space="preserve">This report presented a deep learning approach to predictive maintenance that estimates the Remaining Useful Life of turbofan engines from multivariate sensor data. Using one shared pipeline of sensor selection, normalisation, RUL capping and sliding windows, we compared two classical baselines with a 1D-CNN, a stacked LSTM and a hybrid CNN-LSTM with attention. The hybrid model achieved the best performance, with an RMSE of </w:t>
      </w:r>
      <w:r>
        <w:rPr>
          <w:sz w:val="21"/>
          <w:szCs w:val="21"/>
          <w:highlight w:val="yellow"/>
          <w:highlightCs w:val="yellow"/>
        </w:rPr>
        <w:t xml:space="preserve">12.9</w:t>
      </w:r>
      <w:r>
        <w:rPr>
          <w:sz w:val="21"/>
          <w:szCs w:val="21"/>
        </w:rPr>
        <w:t xml:space="preserve"> and a PHM08 score of </w:t>
      </w:r>
      <w:r>
        <w:rPr>
          <w:sz w:val="21"/>
          <w:szCs w:val="21"/>
          <w:highlight w:val="yellow"/>
          <w:highlightCs w:val="yellow"/>
        </w:rPr>
        <w:t xml:space="preserve">271</w:t>
      </w:r>
      <w:r>
        <w:rPr>
          <w:sz w:val="21"/>
          <w:szCs w:val="21"/>
        </w:rPr>
        <w:t xml:space="preserve"> on FD001, and the ablation study showed that the window length and the RUL cap are important design choices.</w:t>
      </w:r>
    </w:p>
    <w:p>
      <w:pPr>
        <w:spacing w:after="0" w:line="252"/>
        <w:ind w:firstLine="202"/>
        <w:jc w:val="both"/>
      </w:pPr>
      <w:r>
        <w:rPr>
          <w:sz w:val="21"/>
          <w:szCs w:val="21"/>
        </w:rPr>
        <w:t xml:space="preserve">Future work will extend the evaluation to the multi-condition subsets FD002 and FD004, test Transformer-based sequence models, add uncertainty estimation through Monte Carlo dropout or deep ensembles so that each prediction carries a confidence interval, validate on real industrial data, and deploy the model as a real-time monitoring dashboard.</w:t>
      </w:r>
    </w:p>
    <w:p>
      <w:pPr>
        <w:spacing w:after="120" w:before="240"/>
        <w:jc w:val="center"/>
      </w:pPr>
      <w:r>
        <w:rPr>
          <w:smallCaps/>
          <w:sz w:val="21"/>
          <w:szCs w:val="21"/>
        </w:rPr>
        <w:t xml:space="preserve">References</w:t>
      </w:r>
    </w:p>
    <w:p>
      <w:pPr>
        <w:spacing w:after="40"/>
        <w:ind w:left="400" w:hanging="400"/>
        <w:jc w:val="both"/>
      </w:pPr>
      <w:r>
        <w:rPr>
          <w:sz w:val="16"/>
          <w:szCs w:val="16"/>
        </w:rPr>
        <w:t xml:space="preserve">[1]	Y. Lei, N. Li, L. Guo, N. Li, T. Yan, and J. Lin, "Machinery health prognostics: A systematic review from data acquisition to RUL prediction," Mech. Syst. Signal Process., vol. 104, pp. 799-834, 2018.</w:t>
      </w:r>
    </w:p>
    <w:p>
      <w:pPr>
        <w:spacing w:after="40"/>
        <w:ind w:left="400" w:hanging="400"/>
        <w:jc w:val="both"/>
      </w:pPr>
      <w:r>
        <w:rPr>
          <w:sz w:val="16"/>
          <w:szCs w:val="16"/>
        </w:rPr>
        <w:t xml:space="preserve">[2]	T. P. Carvalho, F. A. Soares, R. Vita, R. P. Francisco, J. P. Basto, and S. G. Alcalá, "A systematic literature review of machine learning methods applied to predictive maintenance," Comput. Ind. Eng., vol. 137, 106024, 2019.</w:t>
      </w:r>
    </w:p>
    <w:p>
      <w:pPr>
        <w:spacing w:after="40"/>
        <w:ind w:left="400" w:hanging="400"/>
        <w:jc w:val="both"/>
      </w:pPr>
      <w:r>
        <w:rPr>
          <w:sz w:val="16"/>
          <w:szCs w:val="16"/>
        </w:rPr>
        <w:t xml:space="preserve">[3]	A. Saxena, K. Goebel, D. Simon, and N. Eklund, "Damage propagation modeling for aircraft engine run-to-failure simulation," in Proc. Int. Conf. Prognostics and Health Management (PHM), 2008, pp. 1-9.</w:t>
      </w:r>
    </w:p>
    <w:p>
      <w:pPr>
        <w:spacing w:after="40"/>
        <w:ind w:left="400" w:hanging="400"/>
        <w:jc w:val="both"/>
      </w:pPr>
      <w:r>
        <w:rPr>
          <w:sz w:val="16"/>
          <w:szCs w:val="16"/>
        </w:rPr>
        <w:t xml:space="preserve">[4]	E. Ramasso and A. Saxena, "Performance benchmarking and analysis of prognostic methods for CMAPSS datasets," Int. J. Prognostics Health Manag., vol. 5, no. 2, 2014.</w:t>
      </w:r>
    </w:p>
    <w:p>
      <w:pPr>
        <w:spacing w:after="40"/>
        <w:ind w:left="400" w:hanging="400"/>
        <w:jc w:val="both"/>
      </w:pPr>
      <w:r>
        <w:rPr>
          <w:sz w:val="16"/>
          <w:szCs w:val="16"/>
        </w:rPr>
        <w:t xml:space="preserve">[5]	F. O. Heimes, "Recurrent neural networks for remaining useful life estimation," in Proc. Int. Conf. Prognostics and Health Management (PHM), 2008, pp. 1-6.</w:t>
      </w:r>
    </w:p>
    <w:p>
      <w:pPr>
        <w:spacing w:after="40"/>
        <w:ind w:left="400" w:hanging="400"/>
        <w:jc w:val="both"/>
      </w:pPr>
      <w:r>
        <w:rPr>
          <w:sz w:val="16"/>
          <w:szCs w:val="16"/>
        </w:rPr>
        <w:t xml:space="preserve">[6]	G. S. Babu, P. Zhao, and X.-L. Li, "Deep convolutional neural network based regression approach for estimation of remaining useful life," in Proc. Int. Conf. Database Systems for Advanced Applications (DASFAA), 2016, pp. 214-228.</w:t>
      </w:r>
    </w:p>
    <w:p>
      <w:pPr>
        <w:spacing w:after="40"/>
        <w:ind w:left="400" w:hanging="400"/>
        <w:jc w:val="both"/>
      </w:pPr>
      <w:r>
        <w:rPr>
          <w:sz w:val="16"/>
          <w:szCs w:val="16"/>
        </w:rPr>
        <w:t xml:space="preserve">[7]	X. Li, Q. Ding, and J.-Q. Sun, "Remaining useful life estimation in prognostics using deep convolution neural networks," Reliab. Eng. Syst. Saf., vol. 172, pp. 1-11, 2018.</w:t>
      </w:r>
    </w:p>
    <w:p>
      <w:pPr>
        <w:spacing w:after="40"/>
        <w:ind w:left="400" w:hanging="400"/>
        <w:jc w:val="both"/>
      </w:pPr>
      <w:r>
        <w:rPr>
          <w:sz w:val="16"/>
          <w:szCs w:val="16"/>
        </w:rPr>
        <w:t xml:space="preserve">[8]	S. Hochreiter and J. Schmidhuber, "Long short-term memory," Neural Comput., vol. 9, no. 8, pp. 1735-1780, 1997.</w:t>
      </w:r>
    </w:p>
    <w:p>
      <w:pPr>
        <w:spacing w:after="40"/>
        <w:ind w:left="400" w:hanging="400"/>
        <w:jc w:val="both"/>
      </w:pPr>
      <w:r>
        <w:rPr>
          <w:sz w:val="16"/>
          <w:szCs w:val="16"/>
        </w:rPr>
        <w:t xml:space="preserve">[9]	S. Zheng, K. Ristovski, A. Farahat, and C. Gupta, "Long short-term memory network for remaining useful life estimation," in Proc. IEEE Int. Conf. Prognostics and Health Management (ICPHM), 2017, pp. 88-95.</w:t>
      </w:r>
    </w:p>
    <w:p>
      <w:pPr>
        <w:spacing w:after="40"/>
        <w:ind w:left="400" w:hanging="400"/>
        <w:jc w:val="both"/>
      </w:pPr>
      <w:r>
        <w:rPr>
          <w:sz w:val="16"/>
          <w:szCs w:val="16"/>
        </w:rPr>
        <w:t xml:space="preserve">[10]	P. Malhotra, A. Ramakrishnan, G. Anand, L. Vig, P. Agarwal, and G. Shroff, "LSTM-based encoder-decoder for multi-sensor anomaly detection," arXiv:1607.00148, 2016.</w:t>
      </w:r>
    </w:p>
    <w:p>
      <w:pPr>
        <w:spacing w:after="40"/>
        <w:ind w:left="400" w:hanging="400"/>
        <w:jc w:val="both"/>
      </w:pPr>
      <w:r>
        <w:rPr>
          <w:sz w:val="16"/>
          <w:szCs w:val="16"/>
        </w:rPr>
        <w:t xml:space="preserve">[11]	A. Vaswani et al., "Attention is all you need," in Proc. Advances in Neural Information Processing Systems (NeurIPS), 2017, pp. 5998-6008.</w:t>
      </w:r>
    </w:p>
    <w:p>
      <w:pPr>
        <w:spacing w:after="40"/>
        <w:ind w:left="400" w:hanging="400"/>
        <w:jc w:val="both"/>
      </w:pPr>
      <w:r>
        <w:rPr>
          <w:sz w:val="16"/>
          <w:szCs w:val="16"/>
        </w:rPr>
        <w:t xml:space="preserve">[12]	D. P. Kingma and J. Ba, "Adam: A method for stochastic optimization," in Proc. Int. Conf. Learning Representations (ICLR), 2015.</w:t>
      </w:r>
    </w:p>
    <w:sectPr>
      <w:headerReference w:type="default" r:id="rId7"/>
      <w:headerReference w:type="first" r:id="rId8"/>
      <w:footerReference w:type="default" r:id="rId9"/>
      <w:footerReference w:type="first" r:id="rId10"/>
      <w:pgSz w:w="12240" w:h="15840" w:orient="portrait"/>
      <w:pgMar w:top="1080" w:right="1080" w:bottom="1080" w:left="1080" w:header="500"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192E" w:sz="4" w:space="4"/>
      </w:pBdr>
      <w:jc w:val="right"/>
    </w:pPr>
    <w:r>
      <w:drawing>
        <wp:inline distT="0" distB="0" distL="0" distR="0">
          <wp:extent cx="18097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28575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40" w:hanging="320"/>
      </w:pPr>
    </w:lvl>
  </w:abstractNum>
  <w:abstractNum w:abstractNumId="3" w15:restartNumberingAfterBreak="0">
    <w:multiLevelType w:val="hybridMultilevel"/>
    <w:lvl w:ilvl="0" w15:tentative="1">
      <w:start w:val="1"/>
      <w:numFmt w:val="bullet"/>
      <w:lvlText w:val="–"/>
      <w:lvlJc w:val="left"/>
      <w:pPr>
        <w:ind w:left="6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e9d7d841793480ac43b7671b2abaf95902979c63.png"/><Relationship Id="rId12" Type="http://schemas.openxmlformats.org/officeDocument/2006/relationships/image" Target="media/1c30870979349c13fa50d497b399c4f260fdfb9b.png"/><Relationship Id="rId13" Type="http://schemas.openxmlformats.org/officeDocument/2006/relationships/image" Target="media/47d791c8edd6326dd0885321608be222b7186f20.png"/><Relationship Id="rId14" Type="http://schemas.openxmlformats.org/officeDocument/2006/relationships/image" Target="media/8895b73403fb7fcc872cd78e1599955948a078f5.png"/><Relationship Id="rId15" Type="http://schemas.openxmlformats.org/officeDocument/2006/relationships/image" Target="media/b25b576dbda1e87ac88e8ab337e31b69e3f5e83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e9d7d841793480ac43b7671b2abaf95902979c63.png"/></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AI-Based Predictive Maintenance Using Multivariate Sensor Data</dc:title>
  <dc:creator>Saafalya Sengupta, Ribhav Dhankani</dc:creator>
  <dc:description>Deep Learning-Based Remaining Useful Life Estimation of Turbofan Engines on NASA C-MAPSS</dc:description>
  <cp:lastModifiedBy>Un-named</cp:lastModifiedBy>
  <cp:revision>1</cp:revision>
  <dcterms:created xsi:type="dcterms:W3CDTF">2026-10-21T17:18:59.685Z</dcterms:created>
  <dcterms:modified xsi:type="dcterms:W3CDTF">2026-10-21T17:18:59.686Z</dcterms:modified>
</cp:coreProperties>
</file>

<file path=docProps/custom.xml><?xml version="1.0" encoding="utf-8"?>
<Properties xmlns="http://schemas.openxmlformats.org/officeDocument/2006/custom-properties" xmlns:vt="http://schemas.openxmlformats.org/officeDocument/2006/docPropsVTypes"/>
</file>