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shd w:val="clear" w:color="auto" w:fill="ffffff"/>
        <w:spacing w:before="0" w:after="0"/>
        <w:rPr>
          <w:rFonts w:ascii="Georgia" w:cs="Georgia" w:hAnsi="Georgia" w:eastAsia="Georgia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7- Create Service in Kubernetes</w:t>
      </w:r>
    </w:p>
    <w:p>
      <w:pPr>
        <w:pStyle w:val="Body"/>
      </w:pPr>
    </w:p>
    <w:p>
      <w:pPr>
        <w:pStyle w:val="Heading 3"/>
        <w:shd w:val="clear" w:color="auto" w:fill="ffffff"/>
        <w:spacing w:before="0" w:after="0"/>
        <w:rPr>
          <w:rFonts w:ascii="Georgia" w:cs="Georgia" w:hAnsi="Georgia" w:eastAsia="Georgia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Objective</w:t>
      </w:r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Understand the syntax and structure of a Kubernetes Service definition file (YAML).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Learn to create different types of Services: ClusterIP, NodePort, and LoadBalancer.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Comprehend how Services operate independently of specific Pods.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Heading 3"/>
        <w:shd w:val="clear" w:color="auto" w:fill="ffffff"/>
        <w:spacing w:before="0" w:after="0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Kubernetes Cluster: Have a running Kubernetes cluster (locally using Minikube or kind, or a cloud-based service).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kubectl: Install and configure kubectl to interact with your Kubernetes cluster.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Basic Knowledge of YAML: Familiarity with YAML format will be helpful for understanding Kubernetes resource definitions.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Heading 3"/>
        <w:shd w:val="clear" w:color="auto" w:fill="ffffff"/>
        <w:spacing w:before="0" w:after="0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Step-by-Step Guide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NodePort Service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To expose the Service on a port on each Node in the cluster, modify the Service type to NodePort.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Create a YAML file named nodeport-service.yaml with the following content: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de-DE"/>
        </w:rPr>
        <w:t>apiVersion: v1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kind: Service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pt-PT"/>
        </w:rPr>
        <w:t>metadata: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nl-NL"/>
        </w:rPr>
        <w:t xml:space="preserve">  name: nodeport-service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</w:rPr>
        <w:t>spec: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</w:rPr>
        <w:t xml:space="preserve">  selector: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</w:rPr>
        <w:t xml:space="preserve">    app: my-app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  ports: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de-DE"/>
        </w:rPr>
        <w:t xml:space="preserve">    - protocol: TCP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</w:rPr>
        <w:t xml:space="preserve">      port: 80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</w:rPr>
        <w:t xml:space="preserve">      targetPort: 80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      nodePort: 30007 # A specific port in the range 30000-32767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</w:rPr>
        <w:t xml:space="preserve">  type: NodePort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drawing xmlns:a="http://schemas.openxmlformats.org/drawingml/2006/main">
          <wp:inline distT="0" distB="0" distL="0" distR="0">
            <wp:extent cx="6016625" cy="3124740"/>
            <wp:effectExtent l="0" t="0" r="0" b="0"/>
            <wp:docPr id="1073741825" name="officeArt object" descr="Screenshot 2024-10-25 at 12.16.4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10-25 at 12.16.46 PM.png" descr="Screenshot 2024-10-25 at 12.16.4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24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Explanation: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The primary difference from the ClusterIP Service is the addition of nodePort, which specifies the static port on each Node.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type: Set to NodePort, exposing the Service on a specific port across all Nodes.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Apply this YAML to create the NodePort Service: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 apply -f nodeport-service.yaml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drawing xmlns:a="http://schemas.openxmlformats.org/drawingml/2006/main">
          <wp:inline distT="0" distB="0" distL="0" distR="0">
            <wp:extent cx="6016625" cy="510846"/>
            <wp:effectExtent l="0" t="0" r="0" b="0"/>
            <wp:docPr id="1073741826" name="officeArt object" descr="Screenshot 2024-10-25 at 12.15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10-25 at 12.15.18 PM.png" descr="Screenshot 2024-10-25 at 12.15.1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10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Verify the Service: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 get services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drawing xmlns:a="http://schemas.openxmlformats.org/drawingml/2006/main">
          <wp:inline distT="0" distB="0" distL="0" distR="0">
            <wp:extent cx="6016625" cy="998392"/>
            <wp:effectExtent l="0" t="0" r="0" b="0"/>
            <wp:docPr id="1073741827" name="officeArt object" descr="Screenshot 2024-10-25 at 12.16.1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10-25 at 12.16.12 PM.png" descr="Screenshot 2024-10-25 at 12.16.1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98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</w:pPr>
      <w:r>
        <w:rPr>
          <w:rFonts w:ascii="Georgia" w:hAnsi="Georgia"/>
          <w:sz w:val="24"/>
          <w:szCs w:val="24"/>
          <w:rtl w:val="0"/>
          <w:lang w:val="en-US"/>
        </w:rPr>
        <w:t>You should see the nodeport-service listed with a NodePort and details about the port exposed.</w:t>
      </w:r>
    </w:p>
    <w:sectPr>
      <w:headerReference w:type="default" r:id="rId7"/>
      <w:footerReference w:type="default" r:id="rId8"/>
      <w:pgSz w:w="12240" w:h="15840" w:orient="portrait"/>
      <w:pgMar w:top="1440" w:right="1325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:lang w:val="en-US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