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A354F" w14:textId="77777777" w:rsidR="00623756" w:rsidRDefault="00623756" w:rsidP="00623756">
      <w:r>
        <w:t>[BSG001] Optimizing Bronze–Silver–Gold Architecture</w:t>
      </w:r>
    </w:p>
    <w:p w14:paraId="707BDC8E" w14:textId="77777777" w:rsidR="00623756" w:rsidRDefault="00623756" w:rsidP="00623756">
      <w:r>
        <w:t>Modern data architectures often follow a layered pattern:</w:t>
      </w:r>
    </w:p>
    <w:p w14:paraId="5AC93104" w14:textId="77777777" w:rsidR="00623756" w:rsidRDefault="00623756" w:rsidP="00623756">
      <w:r>
        <w:t>- Bronze: Raw, untransformed data from source systems.</w:t>
      </w:r>
    </w:p>
    <w:p w14:paraId="736A42FD" w14:textId="77777777" w:rsidR="00623756" w:rsidRDefault="00623756" w:rsidP="00623756">
      <w:r>
        <w:t>- Silver: Cleaned and standardized datasets ready for analytics.</w:t>
      </w:r>
    </w:p>
    <w:p w14:paraId="4E98CA43" w14:textId="77777777" w:rsidR="00623756" w:rsidRDefault="00623756" w:rsidP="00623756">
      <w:r>
        <w:t>- Gold: Curated, pre-aggregated, business-ready data marts.</w:t>
      </w:r>
    </w:p>
    <w:p w14:paraId="56944AF9" w14:textId="77777777" w:rsidR="00623756" w:rsidRDefault="00623756" w:rsidP="00623756">
      <w:r>
        <w:t>For efficiency, it is not always cost-effective to build the Gold layer upfront. A selective approach builds Gold only for high-demand analytical areas or heavy queries identified via monitoring. This ensures cost and performance optimization in cloud environments where frequent queries on Silver can be expensive.</w:t>
      </w:r>
    </w:p>
    <w:p w14:paraId="120D1C1C" w14:textId="77777777" w:rsidR="00623756" w:rsidRDefault="00623756" w:rsidP="00623756"/>
    <w:p w14:paraId="1BFC15FF" w14:textId="77777777" w:rsidR="00623756" w:rsidRDefault="00623756" w:rsidP="00623756">
      <w:r>
        <w:t>[BSG002] Adaptive Gold Layer Strategy</w:t>
      </w:r>
    </w:p>
    <w:p w14:paraId="30E4977A" w14:textId="77777777" w:rsidR="00623756" w:rsidRDefault="00623756" w:rsidP="00623756">
      <w:r>
        <w:t>The goal is to avoid unnecessary Gold layer creation and migration of thousands of existing dashboards. Instead, allow business users to explore Silver data using semantic search, AI guidance, and contextual metadata — without deep knowledge of the underlying schema. Gold models should be generated only when data usage and query complexity justify it, ensuring performance without overengineering.</w:t>
      </w:r>
    </w:p>
    <w:p w14:paraId="4C93F3DE" w14:textId="77777777" w:rsidR="00623756" w:rsidRDefault="00623756" w:rsidP="00623756"/>
    <w:p w14:paraId="62FF6F9A" w14:textId="77777777" w:rsidR="00623756" w:rsidRDefault="00623756" w:rsidP="00623756">
      <w:r>
        <w:t>[BSG003] Monitoring Query Patterns for Gold Layer Creation</w:t>
      </w:r>
    </w:p>
    <w:p w14:paraId="7C694C9F" w14:textId="77777777" w:rsidR="00623756" w:rsidRDefault="00623756" w:rsidP="00623756">
      <w:r>
        <w:t>Automate the detection of query frequency and computational cost on Silver. Use AI-based monitoring to flag repetitive or high-cost queries and automatically propose a Gold dataset for those cases. This supports dynamic Gold model creation that scales with business usage patterns and reduces manual intervention.</w:t>
      </w:r>
    </w:p>
    <w:p w14:paraId="6EAD5C41" w14:textId="77777777" w:rsidR="00623756" w:rsidRDefault="00623756" w:rsidP="00623756"/>
    <w:p w14:paraId="0BB92A6B" w14:textId="77777777" w:rsidR="00623756" w:rsidRDefault="00623756" w:rsidP="00623756">
      <w:r>
        <w:t>[BSG004] Complex Transformations Between Silver and Gold</w:t>
      </w:r>
    </w:p>
    <w:p w14:paraId="599D07A3" w14:textId="77777777" w:rsidR="00623756" w:rsidRDefault="00623756" w:rsidP="00623756">
      <w:r>
        <w:t>In telecom and other industries, transformations from Silver to Gold are often nontrivial. Metrics such as ARPU (Average Revenue Per User) cannot be directly aggregated; they require product-based and service-based calculations that differ across customers. Transformation logic should support parameterized calculations, reusable templates, and domain-specific functions to derive KPIs dynamically.</w:t>
      </w:r>
    </w:p>
    <w:p w14:paraId="783ADDF7" w14:textId="77777777" w:rsidR="00623756" w:rsidRDefault="00623756" w:rsidP="00623756"/>
    <w:p w14:paraId="05624033" w14:textId="77777777" w:rsidR="00623756" w:rsidRDefault="00623756" w:rsidP="00623756">
      <w:r>
        <w:lastRenderedPageBreak/>
        <w:t>[BSG005] Business Questions for Gold Layer Use</w:t>
      </w:r>
    </w:p>
    <w:p w14:paraId="2545948F" w14:textId="77777777" w:rsidR="00623756" w:rsidRDefault="00623756" w:rsidP="00623756">
      <w:r>
        <w:t>Gold data should support answering key business questions efficiently, including:</w:t>
      </w:r>
    </w:p>
    <w:p w14:paraId="7960F5FB" w14:textId="77777777" w:rsidR="00623756" w:rsidRDefault="00623756" w:rsidP="00623756">
      <w:r>
        <w:t>- Revenue and usage metrics per customer segment</w:t>
      </w:r>
    </w:p>
    <w:p w14:paraId="17C99BB1" w14:textId="77777777" w:rsidR="00623756" w:rsidRDefault="00623756" w:rsidP="00623756">
      <w:r>
        <w:t>- Churn and retention drivers</w:t>
      </w:r>
    </w:p>
    <w:p w14:paraId="2C66925E" w14:textId="77777777" w:rsidR="00623756" w:rsidRDefault="00623756" w:rsidP="00623756">
      <w:r>
        <w:t>- Cross-product performance and profitability</w:t>
      </w:r>
    </w:p>
    <w:p w14:paraId="7609FB68" w14:textId="77777777" w:rsidR="00623756" w:rsidRDefault="00623756" w:rsidP="00623756">
      <w:r>
        <w:t>- Campaign attribution and offer effectiveness</w:t>
      </w:r>
    </w:p>
    <w:p w14:paraId="77FECE1F" w14:textId="77777777" w:rsidR="00623756" w:rsidRDefault="00623756" w:rsidP="00623756">
      <w:r>
        <w:t>Gold datasets should be shaped around these questions and be explainable, traceable, and auditable.</w:t>
      </w:r>
    </w:p>
    <w:p w14:paraId="05367985" w14:textId="77777777" w:rsidR="00623756" w:rsidRDefault="00623756" w:rsidP="00623756"/>
    <w:p w14:paraId="15E09958" w14:textId="77777777" w:rsidR="00623756" w:rsidRDefault="00623756" w:rsidP="00623756">
      <w:r>
        <w:t>[BSG006] Silver Layer Automation from ODS (Operational Data Store)</w:t>
      </w:r>
    </w:p>
    <w:p w14:paraId="64677705" w14:textId="77777777" w:rsidR="00623756" w:rsidRDefault="00623756" w:rsidP="00623756">
      <w:r>
        <w:t>Automating the Silver layer involves reading structured data from the Bronze or ODS layer and proposing a normalized target model following Data Vault 2.0 principles. The process should:</w:t>
      </w:r>
    </w:p>
    <w:p w14:paraId="704DE18A" w14:textId="77777777" w:rsidR="00623756" w:rsidRDefault="00623756" w:rsidP="00623756">
      <w:r>
        <w:t>- Identify source entities and relationships</w:t>
      </w:r>
    </w:p>
    <w:p w14:paraId="76D26C75" w14:textId="77777777" w:rsidR="00623756" w:rsidRDefault="00623756" w:rsidP="00623756">
      <w:r>
        <w:t>- Propose hub, link, and satellite structures</w:t>
      </w:r>
    </w:p>
    <w:p w14:paraId="0197B221" w14:textId="77777777" w:rsidR="00623756" w:rsidRDefault="00623756" w:rsidP="00623756">
      <w:r>
        <w:t>- Generate incremental load logic from Bronze</w:t>
      </w:r>
    </w:p>
    <w:p w14:paraId="33994593" w14:textId="77777777" w:rsidR="00623756" w:rsidRDefault="00623756" w:rsidP="00623756">
      <w:r>
        <w:t>- Create DDL and ETL code automatically</w:t>
      </w:r>
    </w:p>
    <w:p w14:paraId="1A0EEAFA" w14:textId="77777777" w:rsidR="00623756" w:rsidRDefault="00623756" w:rsidP="00623756">
      <w:r>
        <w:t>This automation reduces engineering effort and ensures consistency in data modeling across projects.</w:t>
      </w:r>
    </w:p>
    <w:p w14:paraId="49593E3E" w14:textId="77777777" w:rsidR="00623756" w:rsidRDefault="00623756" w:rsidP="00623756"/>
    <w:p w14:paraId="7FB5A24E" w14:textId="77777777" w:rsidR="00623756" w:rsidRDefault="00623756" w:rsidP="00623756">
      <w:r>
        <w:t>[BSG007] Incremental Loading from Bronze to Silver</w:t>
      </w:r>
    </w:p>
    <w:p w14:paraId="76208152" w14:textId="77777777" w:rsidR="00623756" w:rsidRDefault="00623756" w:rsidP="00623756">
      <w:r>
        <w:t>AI-driven data pipelines should automatically determine delta logic using timestamps, version columns, or hash comparisons. Incremental loads minimize compute costs and align with continuous ingestion patterns common in telecom and enterprise analytics.</w:t>
      </w:r>
    </w:p>
    <w:p w14:paraId="580E11B6" w14:textId="77777777" w:rsidR="00623756" w:rsidRDefault="00623756" w:rsidP="00623756"/>
    <w:p w14:paraId="2ECA54C0" w14:textId="77777777" w:rsidR="00623756" w:rsidRDefault="00623756" w:rsidP="00623756">
      <w:r>
        <w:t>[BSG008] Semantic Exploration Without Gold Layer</w:t>
      </w:r>
    </w:p>
    <w:p w14:paraId="2322173A" w14:textId="77777777" w:rsidR="00623756" w:rsidRDefault="00623756" w:rsidP="00623756">
      <w:r>
        <w:t xml:space="preserve">Business users should be able to explore data without knowing schema details or underlying storage layers. AI should translate natural-language queries into SQL across </w:t>
      </w:r>
      <w:r>
        <w:lastRenderedPageBreak/>
        <w:t>Silver datasets using metadata and relationships. This semantic capability bridges the gap between raw data and decision-ready insights, deferring the need for pre-aggregated Gold datasets until clearly justified.</w:t>
      </w:r>
    </w:p>
    <w:p w14:paraId="6DE1DEDD" w14:textId="77777777" w:rsidR="00623756" w:rsidRDefault="00623756" w:rsidP="00623756"/>
    <w:p w14:paraId="0D2FB97A" w14:textId="77777777" w:rsidR="00623756" w:rsidRDefault="00623756" w:rsidP="00623756">
      <w:r>
        <w:t>[BSG009] AI-Driven Code Generation for Data Vault Compliance</w:t>
      </w:r>
    </w:p>
    <w:p w14:paraId="7AEB3417" w14:textId="77777777" w:rsidR="00623756" w:rsidRDefault="00623756" w:rsidP="00623756">
      <w:r>
        <w:t>When ingesting new data from Bronze to Silver, AI can generate compliant Data Vault structures, incremental load SQL, and documentation. The RAG agent should recall prior models to maintain naming standards, keys, and lineage, ensuring enterprise-level governance.</w:t>
      </w:r>
    </w:p>
    <w:p w14:paraId="2C3A4E18" w14:textId="77777777" w:rsidR="00623756" w:rsidRDefault="00623756" w:rsidP="00623756"/>
    <w:p w14:paraId="53D2AC62" w14:textId="77777777" w:rsidR="00623756" w:rsidRDefault="00623756" w:rsidP="00623756">
      <w:r>
        <w:t>[BSG010] Business-Driven Gold Creation</w:t>
      </w:r>
    </w:p>
    <w:p w14:paraId="2AA0BC42" w14:textId="542C183F" w:rsidR="00DC6024" w:rsidRDefault="00623756" w:rsidP="00623756">
      <w:r>
        <w:t>AI should recommend Gold datasets based on business demand signals, such as frequently accessed KPIs or repetitive transformations. The system should balance cost, performance, and governance, generating Gold marts only where necessary and aligning with performance SLAs.</w:t>
      </w:r>
    </w:p>
    <w:sectPr w:rsidR="00DC60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24"/>
    <w:rsid w:val="00203EDF"/>
    <w:rsid w:val="00623756"/>
    <w:rsid w:val="00DC6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5CA1E"/>
  <w15:chartTrackingRefBased/>
  <w15:docId w15:val="{C745ADA1-0D17-48D7-8BB2-36023FF2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0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0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24"/>
    <w:rPr>
      <w:rFonts w:eastAsiaTheme="majorEastAsia" w:cstheme="majorBidi"/>
      <w:color w:val="272727" w:themeColor="text1" w:themeTint="D8"/>
    </w:rPr>
  </w:style>
  <w:style w:type="paragraph" w:styleId="Title">
    <w:name w:val="Title"/>
    <w:basedOn w:val="Normal"/>
    <w:next w:val="Normal"/>
    <w:link w:val="TitleChar"/>
    <w:uiPriority w:val="10"/>
    <w:qFormat/>
    <w:rsid w:val="00DC6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24"/>
    <w:pPr>
      <w:spacing w:before="160"/>
      <w:jc w:val="center"/>
    </w:pPr>
    <w:rPr>
      <w:i/>
      <w:iCs/>
      <w:color w:val="404040" w:themeColor="text1" w:themeTint="BF"/>
    </w:rPr>
  </w:style>
  <w:style w:type="character" w:customStyle="1" w:styleId="QuoteChar">
    <w:name w:val="Quote Char"/>
    <w:basedOn w:val="DefaultParagraphFont"/>
    <w:link w:val="Quote"/>
    <w:uiPriority w:val="29"/>
    <w:rsid w:val="00DC6024"/>
    <w:rPr>
      <w:i/>
      <w:iCs/>
      <w:color w:val="404040" w:themeColor="text1" w:themeTint="BF"/>
    </w:rPr>
  </w:style>
  <w:style w:type="paragraph" w:styleId="ListParagraph">
    <w:name w:val="List Paragraph"/>
    <w:basedOn w:val="Normal"/>
    <w:uiPriority w:val="34"/>
    <w:qFormat/>
    <w:rsid w:val="00DC6024"/>
    <w:pPr>
      <w:ind w:left="720"/>
      <w:contextualSpacing/>
    </w:pPr>
  </w:style>
  <w:style w:type="character" w:styleId="IntenseEmphasis">
    <w:name w:val="Intense Emphasis"/>
    <w:basedOn w:val="DefaultParagraphFont"/>
    <w:uiPriority w:val="21"/>
    <w:qFormat/>
    <w:rsid w:val="00DC6024"/>
    <w:rPr>
      <w:i/>
      <w:iCs/>
      <w:color w:val="0F4761" w:themeColor="accent1" w:themeShade="BF"/>
    </w:rPr>
  </w:style>
  <w:style w:type="paragraph" w:styleId="IntenseQuote">
    <w:name w:val="Intense Quote"/>
    <w:basedOn w:val="Normal"/>
    <w:next w:val="Normal"/>
    <w:link w:val="IntenseQuoteChar"/>
    <w:uiPriority w:val="30"/>
    <w:qFormat/>
    <w:rsid w:val="00DC6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24"/>
    <w:rPr>
      <w:i/>
      <w:iCs/>
      <w:color w:val="0F4761" w:themeColor="accent1" w:themeShade="BF"/>
    </w:rPr>
  </w:style>
  <w:style w:type="character" w:styleId="IntenseReference">
    <w:name w:val="Intense Reference"/>
    <w:basedOn w:val="DefaultParagraphFont"/>
    <w:uiPriority w:val="32"/>
    <w:qFormat/>
    <w:rsid w:val="00DC60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625</Words>
  <Characters>3564</Characters>
  <Application>Microsoft Office Word</Application>
  <DocSecurity>0</DocSecurity>
  <Lines>29</Lines>
  <Paragraphs>8</Paragraphs>
  <ScaleCrop>false</ScaleCrop>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 Miglani</dc:creator>
  <cp:keywords/>
  <dc:description/>
  <cp:lastModifiedBy>Shikha Miglani</cp:lastModifiedBy>
  <cp:revision>2</cp:revision>
  <dcterms:created xsi:type="dcterms:W3CDTF">2025-11-21T01:46:00Z</dcterms:created>
  <dcterms:modified xsi:type="dcterms:W3CDTF">2025-11-21T01:46:00Z</dcterms:modified>
</cp:coreProperties>
</file>