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Transformation Examples</w:t>
      </w:r>
    </w:p>
    <w:p>
      <w:pPr>
        <w:pStyle w:val="Heading1"/>
      </w:pPr>
      <w:r>
        <w:t>BRONZE TO SILVER EXAMPLE</w:t>
      </w:r>
    </w:p>
    <w:p>
      <w:pPr>
        <w:spacing w:after="120"/>
      </w:pPr>
      <w:r>
        <w:t>Silver Layer Automation from ODS (Operational Data Store)</w:t>
      </w:r>
    </w:p>
    <w:p>
      <w:pPr>
        <w:spacing w:after="120"/>
      </w:pPr>
      <w:r>
        <w:t>Automating the Silver layer involves reading structured data from the Bronze or ODS layer and proposing a normalized target model following Data Vault 2.0 principles. The process should:</w:t>
      </w:r>
    </w:p>
    <w:p>
      <w:pPr>
        <w:spacing w:after="120"/>
      </w:pPr>
      <w:r>
        <w:t>- Identify source entities and relationships</w:t>
      </w:r>
    </w:p>
    <w:p>
      <w:pPr>
        <w:spacing w:after="120"/>
      </w:pPr>
      <w:r>
        <w:t>- Propose hub, link, and satellite structures</w:t>
      </w:r>
    </w:p>
    <w:p>
      <w:pPr>
        <w:spacing w:after="120"/>
      </w:pPr>
      <w:r>
        <w:t>- Generate incremental load logic from Bronze</w:t>
      </w:r>
    </w:p>
    <w:p>
      <w:pPr>
        <w:spacing w:after="120"/>
      </w:pPr>
      <w:r>
        <w:t>- Create DDL and ETL code automatically</w:t>
      </w:r>
    </w:p>
    <w:p>
      <w:pPr>
        <w:spacing w:after="120"/>
      </w:pPr>
      <w:r>
        <w:t>This automation reduces engineering effort and ensures consistency in data modeling across projects.</w:t>
      </w:r>
    </w:p>
    <w:p/>
    <w:p>
      <w:pPr>
        <w:pStyle w:val="Heading1"/>
      </w:pPr>
      <w:r>
        <w:t>INCREMENTAL LOAD EXAMPLE</w:t>
      </w:r>
    </w:p>
    <w:p>
      <w:pPr>
        <w:spacing w:after="120"/>
      </w:pPr>
      <w:r>
        <w:t>Incremental Loading from Bronze to Silver</w:t>
      </w:r>
    </w:p>
    <w:p>
      <w:pPr>
        <w:spacing w:after="120"/>
      </w:pPr>
      <w:r>
        <w:t>AI-driven data pipelines should automatically determine delta logic using timestamps, version columns, or hash comparisons. Incremental loads minimize compute costs and align with continuous ingestion patterns common in telecom and enterprise analytics.</w:t>
      </w:r>
    </w:p>
    <w:p/>
    <w:p>
      <w:pPr>
        <w:pStyle w:val="Heading1"/>
      </w:pPr>
      <w:r>
        <w:t>SILVER TO GOLD EXAMPLE</w:t>
      </w:r>
    </w:p>
    <w:p>
      <w:pPr>
        <w:spacing w:after="120"/>
      </w:pPr>
      <w:r>
        <w:t>Complex Transformations Between Silver and Gold</w:t>
      </w:r>
    </w:p>
    <w:p>
      <w:pPr>
        <w:spacing w:after="120"/>
      </w:pPr>
      <w:r>
        <w:t>In telecom and other industries, transformations from Silver to Gold are often nontrivial. Metrics such as ARPU (Average Revenue Per User) cannot be directly aggregated; they require product-based and service-based calculations that differ across customers. Transformation logic should support parameterized calculations, reusable templates, and domain-specific functions to derive KPIs dynamically.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