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Rules</w:t>
      </w:r>
    </w:p>
    <w:p>
      <w:pPr>
        <w:pStyle w:val="Heading1"/>
      </w:pPr>
      <w:r>
        <w:t>BRONZE-SILVER-GOLD ARCHITECTURE RULES</w:t>
      </w:r>
    </w:p>
    <w:p>
      <w:pPr>
        <w:spacing w:after="120"/>
      </w:pPr>
      <w:r>
        <w:t>Optimizing Bronze–Silver–Gold Architecture</w:t>
      </w:r>
    </w:p>
    <w:p>
      <w:pPr>
        <w:spacing w:after="120"/>
      </w:pPr>
      <w:r>
        <w:t>Modern data architectures often follow a layered pattern:</w:t>
      </w:r>
    </w:p>
    <w:p>
      <w:pPr>
        <w:spacing w:after="120"/>
      </w:pPr>
      <w:r>
        <w:t>- Bronze: Raw, untransformed data from source systems.</w:t>
      </w:r>
    </w:p>
    <w:p>
      <w:pPr>
        <w:spacing w:after="120"/>
      </w:pPr>
      <w:r>
        <w:t>- Silver: Cleaned and standardized datasets ready for analytics.</w:t>
      </w:r>
    </w:p>
    <w:p>
      <w:pPr>
        <w:spacing w:after="120"/>
      </w:pPr>
      <w:r>
        <w:t>- Gold: Curated, pre-aggregated, business-ready data marts.</w:t>
      </w:r>
    </w:p>
    <w:p>
      <w:pPr>
        <w:spacing w:after="120"/>
      </w:pPr>
      <w:r>
        <w:t>For efficiency, it is not always cost-effective to build the Gold layer upfront. A selective approach builds Gold only for high-demand analytical areas or heavy queries identified via monitoring. This ensures cost and performance optimization in cloud environments where frequent queries on Silver can be expensive.</w:t>
      </w:r>
    </w:p>
    <w:p/>
    <w:p>
      <w:pPr>
        <w:pStyle w:val="Heading1"/>
      </w:pPr>
      <w:r>
        <w:t>ADAPTIVE GOLD LAYER STRATEGY</w:t>
      </w:r>
    </w:p>
    <w:p>
      <w:pPr>
        <w:spacing w:after="120"/>
      </w:pPr>
      <w:r>
        <w:t>Adaptive Gold Layer Strategy</w:t>
      </w:r>
    </w:p>
    <w:p>
      <w:pPr>
        <w:spacing w:after="120"/>
      </w:pPr>
      <w:r>
        <w:t>The goal is to avoid unnecessary Gold layer creation and migration of thousands of existing dashboards. Instead, allow business users to explore Silver data using semantic search, AI guidance, and contextual metadata — without deep knowledge of the underlying schema. Gold models should be generated only when data usage and query complexity justify it, ensuring performance without overengineering.</w:t>
      </w:r>
    </w:p>
    <w:p/>
    <w:p>
      <w:pPr>
        <w:pStyle w:val="Heading1"/>
      </w:pPr>
      <w:r>
        <w:t>GOVERNANCE AND COMPLIANCE</w:t>
      </w:r>
    </w:p>
    <w:p>
      <w:pPr>
        <w:spacing w:after="120"/>
      </w:pPr>
      <w:r>
        <w:t>Governance and Compliance</w:t>
      </w:r>
    </w:p>
    <w:p>
      <w:pPr>
        <w:spacing w:after="120"/>
      </w:pPr>
      <w:r>
        <w:t>Telecom analytics must meet GDPR and local telecom regulatory requirements.</w:t>
      </w:r>
    </w:p>
    <w:p>
      <w:pPr>
        <w:spacing w:after="120"/>
      </w:pPr>
      <w:r>
        <w:t>Ensure data masking (for MSISDN), lineage tracking, and controlled access via role-based permissions.</w:t>
      </w:r>
    </w:p>
    <w:p>
      <w:pPr>
        <w:spacing w:after="120"/>
      </w:pPr>
      <w:r>
        <w:t>AI governance should include explainability, approval workflows, and audit trails.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