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6.png" ContentType="image/png"/>
  <Override PartName="/word/media/rId24.jpg" ContentType="image/jpeg"/>
  <Override PartName="/word/media/rId3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 по лабораторной работе №8</w:t>
      </w:r>
    </w:p>
    <w:p>
      <w:pPr>
        <w:pStyle w:val="Subtitle"/>
      </w:pPr>
      <w:r>
        <w:t xml:space="preserve">Конкуренции двух фирм</w:t>
      </w:r>
    </w:p>
    <w:p>
      <w:pPr>
        <w:pStyle w:val="Author"/>
      </w:pPr>
      <w:r>
        <w:t xml:space="preserve">Сингх Ааруши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математическую модель конкуренции двух фирм.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rPr>
          <w:b/>
          <w:bCs/>
        </w:rPr>
        <w:t xml:space="preserve">Случай 1</w:t>
      </w:r>
    </w:p>
    <w:p>
      <w:pPr>
        <w:pStyle w:val="BodyText"/>
      </w:pPr>
      <w:r>
        <w:t xml:space="preserve">Рассмотрим две фирмы, производящие взаимозаменяемые товары</w:t>
      </w:r>
      <w:r>
        <w:t xml:space="preserve"> </w:t>
      </w:r>
      <w:r>
        <w:t xml:space="preserve">одинакового качества и находящиеся в одной рыночной нише. Считаем, что в рамках</w:t>
      </w:r>
      <w:r>
        <w:t xml:space="preserve"> </w:t>
      </w:r>
      <w:r>
        <w:t xml:space="preserve">нашей модели конкурентная борьба ведётся только рыночными методами. То есть,</w:t>
      </w:r>
      <w:r>
        <w:t xml:space="preserve"> </w:t>
      </w:r>
      <w:r>
        <w:t xml:space="preserve">конкуренты могут влиять на противника путем изменения параметров своего</w:t>
      </w:r>
      <w:r>
        <w:t xml:space="preserve"> </w:t>
      </w:r>
      <w:r>
        <w:t xml:space="preserve">производства: себестоимость, время цикла, но не могут прямо вмешиваться в</w:t>
      </w:r>
      <w:r>
        <w:t xml:space="preserve"> </w:t>
      </w:r>
      <w:r>
        <w:t xml:space="preserve">ситуацию на рынке («назначать» цену или влиять на потребителей каким-либо иным</w:t>
      </w:r>
      <w:r>
        <w:t xml:space="preserve"> </w:t>
      </w:r>
      <w:r>
        <w:t xml:space="preserve">способом.) Будем считать, что постоянные издержки пренебрежимо малы, и в</w:t>
      </w:r>
      <w:r>
        <w:t xml:space="preserve"> </w:t>
      </w:r>
      <w:r>
        <w:t xml:space="preserve">модели учитывать не будем.</w:t>
      </w:r>
    </w:p>
    <w:p>
      <w:pPr>
        <w:pStyle w:val="BodyText"/>
      </w:pPr>
      <w:r>
        <w:rPr>
          <w:b/>
          <w:bCs/>
        </w:rPr>
        <w:t xml:space="preserve">Случай 2</w:t>
      </w:r>
      <w:r>
        <w:t xml:space="preserve"> </w:t>
      </w:r>
      <w:r>
        <w:t xml:space="preserve">Рассмотрим модель, когда, помимо экономического фактора</w:t>
      </w:r>
      <w:r>
        <w:t xml:space="preserve"> </w:t>
      </w:r>
      <w:r>
        <w:t xml:space="preserve">влияния (изменение себестоимости, производственного цикла, использование</w:t>
      </w:r>
      <w:r>
        <w:t xml:space="preserve"> </w:t>
      </w:r>
      <w:r>
        <w:t xml:space="preserve">кредита и т.п.), используются еще и социально-психологические факторы –</w:t>
      </w:r>
      <w:r>
        <w:t xml:space="preserve"> </w:t>
      </w:r>
      <w:r>
        <w:t xml:space="preserve">формирование общественного предпочтения одного товара другому, не зависимо от</w:t>
      </w:r>
      <w:r>
        <w:t xml:space="preserve"> </w:t>
      </w:r>
      <w:r>
        <w:t xml:space="preserve">их качества и цены. В этом случае взаимодействие двух фирм будет зависеть друг</w:t>
      </w:r>
      <w:r>
        <w:t xml:space="preserve"> </w:t>
      </w:r>
      <w:r>
        <w:t xml:space="preserve">от друга, соответственно коэффициент перед</w:t>
      </w:r>
      <w:r>
        <w:t xml:space="preserve"> </w:t>
      </w:r>
      <w:r>
        <w:t xml:space="preserve">M1 M2 будет отличаться.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Математическому моделированию процессов конкуренции и сотрудничества двух фирм на различных рынках посвящено довольно много научных работ, в основном использующих аппарат теории игр и статистических решений. В качестве примера можно привести работы таких исследователей, как Курно, Стакельберг, Бертран, Нэш, Парето</w:t>
      </w:r>
      <w:r>
        <w:t xml:space="preserve"> </w:t>
      </w:r>
      <w:r>
        <w:t xml:space="preserve">[</w:t>
      </w:r>
      <w:r>
        <w:rPr>
          <w:b/>
          <w:bCs/>
        </w:rPr>
        <w:t xml:space="preserve">model?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Следует отметить, что динамические дифференциальные модели уже давно и успешно используются для математического моделирования самых разнообразных по своей природе процессов. Достаточно упомянуть широко использующуюся в экологии модель «хищник-жертва» Вольтерра, математическую теорию развития эпидемий, модели боевых действий.</w:t>
      </w:r>
    </w:p>
    <w:bookmarkStart w:id="22" w:name="постановка-задачи"/>
    <w:p>
      <w:pPr>
        <w:pStyle w:val="Heading2"/>
      </w:pPr>
      <w:r>
        <w:t xml:space="preserve">3.1 Постановка задачи</w:t>
      </w:r>
    </w:p>
    <w:p>
      <w:pPr>
        <w:pStyle w:val="FirstParagraph"/>
      </w:pPr>
      <w:r>
        <w:t xml:space="preserve">Задача решалась в следующей постановке.</w:t>
      </w:r>
    </w:p>
    <w:p>
      <w:pPr>
        <w:pStyle w:val="BodyText"/>
      </w:pPr>
      <w:r>
        <w:t xml:space="preserve">На рынке однородного товара присутствуют две основные фирмы, разделяющие его между собой, т.е. имеет место классическая дуополия.</w:t>
      </w:r>
    </w:p>
    <w:p>
      <w:pPr>
        <w:pStyle w:val="BodyText"/>
      </w:pPr>
      <w:r>
        <w:t xml:space="preserve">Безусловно, это является весьма сильным предположением, однако оно вполне оправдано в тех случаях, когда доля продаж остальных конкурентов на рассматриваемом сегменте рынке пренебрежимо мала. Хорошим примером может служить отечественный рынок микропроцессоров, который по существу разделили между собой две фирмы: Intel и AMD.</w:t>
      </w:r>
    </w:p>
    <w:p>
      <w:pPr>
        <w:pStyle w:val="BodyText"/>
      </w:pPr>
      <w:r>
        <w:t xml:space="preserve">Изменение объемов продаж конкурирующих фирм с течением времени описывается следующей системой дифференциальных уравнений:</w:t>
      </w:r>
    </w:p>
    <w:p>
      <w:pPr>
        <w:pStyle w:val="BodyText"/>
      </w:pPr>
      <w:r>
        <w:t xml:space="preserve">Обозначения:</w:t>
      </w:r>
      <w:r>
        <w:t xml:space="preserve"> </w:t>
      </w:r>
      <w:r>
        <w:t xml:space="preserve">- N — число потребителей производимого продукта.</w:t>
      </w:r>
      <w:r>
        <w:t xml:space="preserve"> </w:t>
      </w:r>
      <w:r>
        <w:t xml:space="preserve">- tau — длительность производственного цикла.</w:t>
      </w:r>
      <w:r>
        <w:t xml:space="preserve"> </w:t>
      </w:r>
      <w:r>
        <w:t xml:space="preserve">- p — рыночная цена товара.</w:t>
      </w:r>
      <w:r>
        <w:t xml:space="preserve"> </w:t>
      </w:r>
      <w:r>
        <w:t xml:space="preserve">- tilde{p} — себестоимость продукта, т.е. переменные издержки на единицу продукции.</w:t>
      </w:r>
      <w:r>
        <w:t xml:space="preserve"> </w:t>
      </w:r>
      <w:r>
        <w:t xml:space="preserve">- q — максимальная потребность одного человека в продукте в единицу времени.</w:t>
      </w:r>
      <w:r>
        <w:t xml:space="preserve"> </w:t>
      </w:r>
      <w:r>
        <w:t xml:space="preserve">- theta =</w:t>
      </w:r>
      <w:r>
        <w:t xml:space="preserve"> </w:t>
      </w:r>
      <w:r>
        <w:t xml:space="preserve"> </w:t>
      </w:r>
      <w:r>
        <w:t xml:space="preserve">— безразмерное время.</w:t>
      </w:r>
    </w:p>
    <w:bookmarkEnd w:id="22"/>
    <w:bookmarkEnd w:id="23"/>
    <w:bookmarkStart w:id="4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0" w:name="реализация-на-julia"/>
    <w:p>
      <w:pPr>
        <w:pStyle w:val="Heading2"/>
      </w:pPr>
      <w:r>
        <w:t xml:space="preserve">4.1 Реализация на Julia</w:t>
      </w:r>
    </w:p>
    <w:p>
      <w:pPr>
        <w:pStyle w:val="FirstParagraph"/>
      </w:pPr>
      <w:r>
        <w:t xml:space="preserve">Подключаем нужные библиотеки для решения ДУ и для отрисовки графиков. Задаем само дифференциальное уравнение, а также начальные условия и параметры.</w:t>
      </w:r>
    </w:p>
    <w:p>
      <w:pPr>
        <w:pStyle w:val="BodyText"/>
      </w:pPr>
      <w:r>
        <w:rPr>
          <w:b/>
          <w:bCs/>
        </w:rPr>
        <w:t xml:space="preserve">Случай 1</w:t>
      </w:r>
    </w:p>
    <w:p>
      <w:pPr>
        <w:pStyle w:val="BodyText"/>
      </w:pPr>
      <w:r>
        <w:t xml:space="preserve">Зададим функцию, описывающую систему уравнений для этого случая, Далее решаем систему ДУ, сначала определив проблему с помощью метода ODEProblem(), а затем решим с помощью solve() солвером Tsit5() с шагом 0.01. Нарисуем график с помощью plot().</w:t>
      </w:r>
    </w:p>
    <w:p>
      <w:pPr>
        <w:pStyle w:val="BodyText"/>
      </w:pPr>
      <w:bookmarkStart w:id="27" w:name="fig:003"/>
      <w:r>
        <w:drawing>
          <wp:inline>
            <wp:extent cx="3733800" cy="349812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/1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8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BodyText"/>
      </w:pPr>
      <w:r>
        <w:t xml:space="preserve">В результате численного решения системы дифференциальных уравнений для конкурирующих фирм без учета постоянных издержек и с введенной нормировкой времени получаем следующий график изменения оборотных средств фирмы 1 и фирмы 2.</w:t>
      </w:r>
      <w:r>
        <w:t xml:space="preserve"> </w:t>
      </w:r>
      <w:r>
        <w:t xml:space="preserve">По графику видно, что рост оборотных средств обеих фирм происходит независимо. Обе фирмы достигают определенного устойчивого уровня, после чего объемы стабилизируются.</w:t>
      </w:r>
    </w:p>
    <w:p>
      <w:pPr>
        <w:pStyle w:val="BodyText"/>
      </w:pPr>
      <w:r>
        <w:t xml:space="preserve">В модели этот эффект отражается в одинаковом коэффициенте взаимодействия (</w:t>
      </w:r>
      <w:r>
        <w:t xml:space="preserve"> </w:t>
      </w:r>
      <w:r>
        <w:t xml:space="preserve"> </w:t>
      </w:r>
      <w:r>
        <w:t xml:space="preserve">), стоящем перед смешанным членом ( M_1 M_2 ) в обоих уравнениях. Это означает симметричную конкуренцию без предпочтения одной из фирм.</w:t>
      </w:r>
    </w:p>
    <w:p>
      <w:pPr>
        <w:pStyle w:val="BodyText"/>
      </w:pPr>
      <w:r>
        <w:t xml:space="preserve">Таким образом, каждая фирма захватывает свою долю рынка, которая не изменяется с течением времени, и они продолжают сосуществовать.</w:t>
      </w:r>
    </w:p>
    <w:p>
      <w:pPr>
        <w:pStyle w:val="BodyText"/>
      </w:pPr>
      <w:bookmarkStart w:id="31" w:name="fig:004"/>
      <w:r>
        <w:drawing>
          <wp:inline>
            <wp:extent cx="3733800" cy="2489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/1.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BodyText"/>
      </w:pPr>
      <w:r>
        <w:rPr>
          <w:b/>
          <w:bCs/>
        </w:rPr>
        <w:t xml:space="preserve">Случай 2</w:t>
      </w:r>
    </w:p>
    <w:p>
      <w:pPr>
        <w:pStyle w:val="BodyText"/>
      </w:pPr>
      <w:bookmarkStart w:id="35" w:name="fig:005"/>
      <w:r>
        <w:drawing>
          <wp:inline>
            <wp:extent cx="3733800" cy="230976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/2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9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BodyText"/>
      </w:pPr>
      <w:r>
        <w:t xml:space="preserve">В случае добавления небольшого асимметричного социального влияния на одну из фирм (например, предпочтения потребителей), система динамики изменяется. Полученный график показан ниже.</w:t>
      </w:r>
    </w:p>
    <w:p>
      <w:pPr>
        <w:pStyle w:val="BodyText"/>
      </w:pPr>
      <w:bookmarkStart w:id="39" w:name="fig:006"/>
      <w:r>
        <w:drawing>
          <wp:inline>
            <wp:extent cx="3733800" cy="2489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/1.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BodyText"/>
      </w:pPr>
      <w:r>
        <w:t xml:space="preserve">Как видно, фирма 1 (зелёная линия) сначала растет, но затем начинает снижать оборотные средства и в итоге банкротится. В то же время фирма 2 (фиолетовая линия) стабильно выходит на устойчивый максимум и полностью занимает рынок.</w:t>
      </w:r>
    </w:p>
    <w:p>
      <w:pPr>
        <w:pStyle w:val="BodyText"/>
      </w:pPr>
      <w:r>
        <w:t xml:space="preserve">Это демонстрирует, как даже незначительное преимущество в восприятии потребителей может привести к полному вытеснению конкурента, несмотря на близкие стартовые условия.</w:t>
      </w:r>
    </w:p>
    <w:bookmarkEnd w:id="40"/>
    <w:bookmarkEnd w:id="41"/>
    <w:bookmarkStart w:id="4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 была исследована модель конкуренции двух фирм.</w:t>
      </w:r>
    </w:p>
    <w:bookmarkEnd w:id="42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24" Target="media/rId24.jpg" /><Relationship Type="http://schemas.openxmlformats.org/officeDocument/2006/relationships/image" Id="rId32" Target="media/rId3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№8</dc:title>
  <dc:creator>Сингх Ааруши</dc:creator>
  <dc:language>ru-RU</dc:language>
  <cp:keywords/>
  <dcterms:created xsi:type="dcterms:W3CDTF">2026-05-30T12:00:59Z</dcterms:created>
  <dcterms:modified xsi:type="dcterms:W3CDTF">2026-05-30T12:00:59Z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Конкуренции двух фирм</vt:lpwstr>
  </property>
  <property fmtid="{D5CDD505-2E9C-101B-9397-08002B2CF9AE}" pid="16" name="toc-title">
    <vt:lpwstr>Содержание</vt:lpwstr>
  </property>
</Properties>
</file>