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№6</w:t>
      </w:r>
    </w:p>
    <w:p>
      <w:pPr>
        <w:pStyle w:val="Subtitle"/>
      </w:pPr>
      <w:r>
        <w:t xml:space="preserve">Задача об эпидемии</w:t>
      </w:r>
    </w:p>
    <w:p>
      <w:pPr>
        <w:pStyle w:val="Author"/>
      </w:pPr>
      <w:r>
        <w:t xml:space="preserve">Сингх Ааруши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Исследовать модель SIR (задача об эпидемии)</w:t>
      </w:r>
    </w:p>
    <w:bookmarkEnd w:id="20"/>
    <w:bookmarkStart w:id="21" w:name="задание"/>
    <w:p>
      <w:pPr>
        <w:pStyle w:val="Heading1"/>
      </w:pPr>
      <w:r>
        <w:t xml:space="preserve">2. Задание</w:t>
      </w:r>
    </w:p>
    <w:p>
      <w:pPr>
        <w:pStyle w:val="FirstParagraph"/>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11200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sepChr m:val=""/>
            <m:endChr m:val=")"/>
            <m:grow/>
          </m:dPr>
          <m:e>
            <m:r>
              <m:t>0</m:t>
            </m:r>
          </m:e>
        </m:d>
        <m:r>
          <m:rPr>
            <m:sty m:val="p"/>
          </m:rPr>
          <m:t>=</m:t>
        </m:r>
        <m:r>
          <m:t>250</m:t>
        </m:r>
      </m:oMath>
      <w:r>
        <w:t xml:space="preserve">, А число здоровых людей с</w:t>
      </w:r>
      <w:r>
        <w:t xml:space="preserve"> </w:t>
      </w:r>
      <w:r>
        <w:t xml:space="preserve">иммунитетом к болезни</w:t>
      </w:r>
      <w:r>
        <w:t xml:space="preserve"> </w:t>
      </w:r>
      <m:oMath>
        <m:r>
          <m:t>R</m:t>
        </m:r>
        <m:d>
          <m:dPr>
            <m:begChr m:val="("/>
            <m:sepChr m:val=""/>
            <m:endChr m:val=")"/>
            <m:grow/>
          </m:dPr>
          <m:e>
            <m:r>
              <m:t>0</m:t>
            </m:r>
          </m:e>
        </m:d>
        <m:r>
          <m:rPr>
            <m:sty m:val="p"/>
          </m:rPr>
          <m:t>=</m:t>
        </m:r>
        <m:r>
          <m:t>45</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sepChr m:val=""/>
            <m:endChr m:val=")"/>
            <m:grow/>
          </m:dPr>
          <m:e>
            <m:r>
              <m:t>0</m:t>
            </m:r>
          </m:e>
        </m:d>
        <m:r>
          <m:rPr>
            <m:sty m:val="p"/>
          </m:rPr>
          <m:t>=</m:t>
        </m:r>
        <m:r>
          <m:t>N</m:t>
        </m:r>
        <m:r>
          <m:rPr>
            <m:sty m:val="p"/>
          </m:rPr>
          <m:t>−</m:t>
        </m:r>
        <m:r>
          <m:t>I</m:t>
        </m:r>
        <m:d>
          <m:dPr>
            <m:begChr m:val="("/>
            <m:sepChr m:val=""/>
            <m:endChr m:val=")"/>
            <m:grow/>
          </m:dPr>
          <m:e>
            <m:r>
              <m:t>0</m:t>
            </m:r>
          </m:e>
        </m:d>
        <m:r>
          <m:rPr>
            <m:sty m:val="p"/>
          </m:rPr>
          <m:t>−</m:t>
        </m:r>
        <m:r>
          <m:t>R</m:t>
        </m:r>
        <m:d>
          <m:dPr>
            <m:begChr m:val="("/>
            <m:sepChr m:val=""/>
            <m:end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p>
    <w:p>
      <w:pPr>
        <w:numPr>
          <w:ilvl w:val="0"/>
          <w:numId w:val="1001"/>
        </w:numPr>
      </w:pPr>
      <w:r>
        <w:t xml:space="preserve">если</w:t>
      </w:r>
      <w:r>
        <w:t xml:space="preserve"> </w:t>
      </w:r>
      <m:oMath>
        <m:r>
          <m:t>I</m:t>
        </m:r>
        <m:d>
          <m:dPr>
            <m:begChr m:val="("/>
            <m:sepChr m:val=""/>
            <m:endChr m:val=")"/>
            <m:grow/>
          </m:dPr>
          <m:e>
            <m:r>
              <m:t>0</m:t>
            </m:r>
          </m:e>
        </m:d>
        <m:r>
          <m:rPr>
            <m:sty m:val="p"/>
          </m:rPr>
          <m:t>≤</m:t>
        </m:r>
        <m:sSup>
          <m:e>
            <m:r>
              <m:t>I</m:t>
            </m:r>
          </m:e>
          <m:sup>
            <m:r>
              <m:rPr>
                <m:sty m:val="p"/>
              </m:rPr>
              <m:t>*</m:t>
            </m:r>
          </m:sup>
        </m:sSup>
      </m:oMath>
      <w:r>
        <w:t xml:space="preserve">;</w:t>
      </w:r>
    </w:p>
    <w:p>
      <w:pPr>
        <w:numPr>
          <w:ilvl w:val="0"/>
          <w:numId w:val="1001"/>
        </w:numPr>
      </w:pPr>
      <w:r>
        <w:t xml:space="preserve">если</w:t>
      </w:r>
      <w:r>
        <w:t xml:space="preserve"> </w:t>
      </w:r>
      <m:oMath>
        <m:r>
          <m:t>I</m:t>
        </m:r>
        <m:d>
          <m:dPr>
            <m:begChr m:val="("/>
            <m:sepChr m:val=""/>
            <m:end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t xml:space="preserve">3. 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w:t>
      </w:r>
      <w:r>
        <w:rPr>
          <w:b/>
          <w:bCs/>
        </w:rPr>
        <w:t xml:space="preserve">wiki_sir?</w:t>
      </w:r>
      <w:r>
        <w:t xml:space="preserve">]</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35" w:name="выполнение-лабораторной-работы"/>
    <w:p>
      <w:pPr>
        <w:pStyle w:val="Heading1"/>
      </w:pPr>
      <w:r>
        <w:t xml:space="preserve">4. Выполнение лабораторной работы</w:t>
      </w:r>
    </w:p>
    <w:bookmarkStart w:id="28" w:name="случай-i0leq-i"/>
    <w:p>
      <w:pPr>
        <w:pStyle w:val="Heading2"/>
      </w:pPr>
      <w:r>
        <w:t xml:space="preserve">4.1 Случай</w:t>
      </w:r>
      <w:r>
        <w:t xml:space="preserve"> </w:t>
      </w:r>
      <m:oMath>
        <m:r>
          <m:t>I</m:t>
        </m:r>
        <m:d>
          <m:dPr>
            <m:begChr m:val="("/>
            <m:sepChr m:val=""/>
            <m:end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p>
    <w:bookmarkStart w:id="27" w:name="реализация-на-julia"/>
    <w:p>
      <w:pPr>
        <w:pStyle w:val="Heading3"/>
      </w:pPr>
      <w:r>
        <w:t xml:space="preserve">4.1.1 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11200</w:t>
      </w:r>
      <w:r>
        <w:br/>
      </w:r>
      <w:r>
        <w:rPr>
          <w:rStyle w:val="NormalTok"/>
        </w:rPr>
        <w:t xml:space="preserve">I_0 </w:t>
      </w:r>
      <w:r>
        <w:rPr>
          <w:rStyle w:val="OperatorTok"/>
        </w:rPr>
        <w:t xml:space="preserve">=</w:t>
      </w:r>
      <w:r>
        <w:rPr>
          <w:rStyle w:val="NormalTok"/>
        </w:rPr>
        <w:t xml:space="preserve"> </w:t>
      </w:r>
      <w:r>
        <w:rPr>
          <w:rStyle w:val="FloatTok"/>
        </w:rPr>
        <w:t xml:space="preserve">230</w:t>
      </w:r>
      <w:r>
        <w:br/>
      </w:r>
      <w:r>
        <w:rPr>
          <w:rStyle w:val="NormalTok"/>
        </w:rPr>
        <w:t xml:space="preserve">R_0 </w:t>
      </w:r>
      <w:r>
        <w:rPr>
          <w:rStyle w:val="OperatorTok"/>
        </w:rPr>
        <w:t xml:space="preserve">=</w:t>
      </w:r>
      <w:r>
        <w:rPr>
          <w:rStyle w:val="NormalTok"/>
        </w:rPr>
        <w:t xml:space="preserve"> </w:t>
      </w:r>
      <w:r>
        <w:rPr>
          <w:rStyle w:val="FloatTok"/>
        </w:rPr>
        <w:t xml:space="preserve">45</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prob_2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sol_2 </w:t>
      </w:r>
      <w:r>
        <w:rPr>
          <w:rStyle w:val="OperatorTok"/>
        </w:rPr>
        <w:t xml:space="preserve">=</w:t>
      </w:r>
      <w:r>
        <w:rPr>
          <w:rStyle w:val="NormalTok"/>
        </w:rPr>
        <w:t xml:space="preserve"> </w:t>
      </w:r>
      <w:r>
        <w:rPr>
          <w:rStyle w:val="FunctionTok"/>
        </w:rPr>
        <w:t xml:space="preserve">solve</w:t>
      </w:r>
      <w:r>
        <w:rPr>
          <w:rStyle w:val="NormalTok"/>
        </w:rPr>
        <w:t xml:space="preserve">(prob_2,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w:t>
      </w:r>
      <w:r>
        <w:t xml:space="preserve"> </w:t>
      </w:r>
      <w:r>
        <w:t xml:space="preserve">[</w:t>
      </w:r>
      <w:r>
        <w:rPr>
          <w:b/>
          <w:bCs/>
        </w:rPr>
        <w:t xml:space="preserve">fig:001?</w:t>
      </w:r>
      <w:r>
        <w:t xml:space="preserve">]</w:t>
      </w:r>
      <w:r>
        <w:t xml:space="preserve">).</w:t>
      </w:r>
      <w:r>
        <w:t xml:space="preserve"> </w:t>
      </w:r>
      <w:r>
        <w:t xml:space="preserve">Видно, что численность здоровых людей (S) не меняется, поскольку мы рассматриваем случай, когда все больные изолированы, то есть здоровые не заражаются.</w:t>
      </w:r>
      <w:r>
        <w:t xml:space="preserve"> </w:t>
      </w:r>
      <w:r>
        <w:t xml:space="preserve">Число больных уменьшается, а число людей с иммунитетом увеличивается.</w:t>
      </w:r>
    </w:p>
    <w:bookmarkStart w:id="26" w:name="fig:001"/>
    <w:p>
      <w:pPr>
        <w:pStyle w:val="CaptionedFigure"/>
      </w:pPr>
      <w:r>
        <w:drawing>
          <wp:inline>
            <wp:extent cx="3733800" cy="2489200"/>
            <wp:effectExtent b="0" l="0" r="0" t="0"/>
            <wp:docPr descr="Динамика изменения числа людей в каждой из трех групп" title="" id="24" name="Picture"/>
            <a:graphic>
              <a:graphicData uri="http://schemas.openxmlformats.org/drawingml/2006/picture">
                <pic:pic>
                  <pic:nvPicPr>
                    <pic:cNvPr descr="image/1.2.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bookmarkEnd w:id="26"/>
    <w:bookmarkEnd w:id="27"/>
    <w:bookmarkEnd w:id="28"/>
    <w:bookmarkStart w:id="34" w:name="случай-i0-i"/>
    <w:p>
      <w:pPr>
        <w:pStyle w:val="Heading2"/>
      </w:pPr>
      <w:r>
        <w:t xml:space="preserve">4.2 Случай</w:t>
      </w:r>
      <w:r>
        <w:t xml:space="preserve"> </w:t>
      </w:r>
      <m:oMath>
        <m:r>
          <m:t>I</m:t>
        </m:r>
        <m:d>
          <m:dPr>
            <m:begChr m:val="("/>
            <m:sepChr m:val=""/>
            <m:end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bookmarkStart w:id="33" w:name="реализация-на-julia-1"/>
    <w:p>
      <w:pPr>
        <w:pStyle w:val="Heading3"/>
      </w:pPr>
      <w:r>
        <w:t xml:space="preserve">4.2.1 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11200</w:t>
      </w:r>
      <w:r>
        <w:br/>
      </w:r>
      <w:r>
        <w:rPr>
          <w:rStyle w:val="NormalTok"/>
        </w:rPr>
        <w:t xml:space="preserve">I_0 </w:t>
      </w:r>
      <w:r>
        <w:rPr>
          <w:rStyle w:val="OperatorTok"/>
        </w:rPr>
        <w:t xml:space="preserve">=</w:t>
      </w:r>
      <w:r>
        <w:rPr>
          <w:rStyle w:val="NormalTok"/>
        </w:rPr>
        <w:t xml:space="preserve"> </w:t>
      </w:r>
      <w:r>
        <w:rPr>
          <w:rStyle w:val="FloatTok"/>
        </w:rPr>
        <w:t xml:space="preserve">230</w:t>
      </w:r>
      <w:r>
        <w:br/>
      </w:r>
      <w:r>
        <w:rPr>
          <w:rStyle w:val="NormalTok"/>
        </w:rPr>
        <w:t xml:space="preserve">R_0 </w:t>
      </w:r>
      <w:r>
        <w:rPr>
          <w:rStyle w:val="OperatorTok"/>
        </w:rPr>
        <w:t xml:space="preserve">=</w:t>
      </w:r>
      <w:r>
        <w:rPr>
          <w:rStyle w:val="NormalTok"/>
        </w:rPr>
        <w:t xml:space="preserve"> </w:t>
      </w:r>
      <w:r>
        <w:rPr>
          <w:rStyle w:val="FloatTok"/>
        </w:rPr>
        <w:t xml:space="preserve">45</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w:t>
      </w:r>
      <w:r>
        <w:t xml:space="preserve"> </w:t>
      </w:r>
      <w:r>
        <w:t xml:space="preserve">[</w:t>
      </w:r>
      <w:r>
        <w:rPr>
          <w:b/>
          <w:bCs/>
        </w:rPr>
        <w:t xml:space="preserve">fig:003?</w:t>
      </w:r>
      <w:r>
        <w:t xml:space="preserve">]</w:t>
      </w:r>
      <w:r>
        <w:t xml:space="preserve">).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bookmarkStart w:id="32" w:name="fig:003"/>
    <w:p>
      <w:pPr>
        <w:pStyle w:val="CaptionedFigure"/>
      </w:pPr>
      <w:r>
        <w:drawing>
          <wp:inline>
            <wp:extent cx="3733800" cy="2489200"/>
            <wp:effectExtent b="0" l="0" r="0" t="0"/>
            <wp:docPr descr="Динамика изменения числа людей в каждой из трех групп" title="" id="30" name="Picture"/>
            <a:graphic>
              <a:graphicData uri="http://schemas.openxmlformats.org/drawingml/2006/picture">
                <pic:pic>
                  <pic:nvPicPr>
                    <pic:cNvPr descr="image/1.1.png"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bookmarkEnd w:id="32"/>
    <w:bookmarkEnd w:id="33"/>
    <w:bookmarkEnd w:id="34"/>
    <w:bookmarkEnd w:id="35"/>
    <w:bookmarkStart w:id="36" w:name="выводы"/>
    <w:p>
      <w:pPr>
        <w:pStyle w:val="Heading1"/>
      </w:pPr>
      <w:r>
        <w:t xml:space="preserve">5. Выводы</w:t>
      </w:r>
    </w:p>
    <w:p>
      <w:pPr>
        <w:pStyle w:val="FirstParagraph"/>
      </w:pPr>
      <w:r>
        <w:t xml:space="preserve">В результате выполнения данной лабораторной работы я исследовала модель SIR.</w:t>
      </w:r>
    </w:p>
    <w:bookmarkEnd w:id="36"/>
    <w:bookmarkStart w:id="38" w:name="список-литературы"/>
    <w:p>
      <w:pPr>
        <w:pStyle w:val="Heading1"/>
      </w:pPr>
      <w:r>
        <w:t xml:space="preserve">Список литературы</w:t>
      </w:r>
    </w:p>
    <w:p>
      <w:pPr>
        <w:pStyle w:val="Compact"/>
        <w:numPr>
          <w:ilvl w:val="0"/>
          <w:numId w:val="1002"/>
        </w:numPr>
      </w:pPr>
      <w:r>
        <w:t xml:space="preserve">Compartmental models in epidemiology [Электронный ресурс]. URL: https: //en.wikipedia.org/wiki/Compartmental_models_in_epidemiology.</w:t>
      </w:r>
    </w:p>
    <w:bookmarkStart w:id="37" w:name="refs"/>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Сингх Ааруши</dc:creator>
  <dc:language>ru-RU</dc:language>
  <cp:keywords/>
  <dcterms:created xsi:type="dcterms:W3CDTF">2026-05-02T13:19:15Z</dcterms:created>
  <dcterms:modified xsi:type="dcterms:W3CDTF">2026-05-02T13:19:15Z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Задача об эпидемии</vt:lpwstr>
  </property>
  <property fmtid="{D5CDD505-2E9C-101B-9397-08002B2CF9AE}" pid="16" name="toc-title">
    <vt:lpwstr>Содержание</vt:lpwstr>
  </property>
</Properties>
</file>