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Hybrid Model using CAPM and Portfolio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Optimization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for Creating an Ideal Portfolio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Goal 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This project aims to create a hybrid model that uses both CAPM analysis and Portfolio Optimization theory to build a portfolio that can potentially deliver highest gains with lowest possible risk.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IN"/>
        </w:rPr>
        <w:t>Programming Language &amp; Tools used 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YFinance API, FRED API, Python.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External Data Used: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CSV Containing list of all S&amp;P500 stock names and respective sectors.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Expected Insights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: Identify the most undervalued stocks in January 2020, and create an optimal portfolio by portfolio analysis.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Research Question: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Both the theories have some common drawbacks due to assumptions and limitations and do not account for market volatility or external real world factor ? how will a portfolio created (in January 2020) by combination of CAPM and Portfolio optimization perform 3 years later (January 2023) after considering the impacts of the COVID-19 pandemic and recent market slowdown ?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Phase-1 CAPM: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Considered the performance of all the 500 S&amp;P 500 stocks over span of 2 years from 2018 to 2020.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Identified some of the most undervalued and overvalued stocks in the market.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Selected the most undervalued stocks from S&amp;P500 in each major sector by comparison of the Beta coefficients.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Overall the most overvalued stocks were : NVIDIA (1.94), AMD (1.9), Micron  Technology (1.18), United Rentals (1.74), ON Semiconductor Corp (1.7) &amp; Netflix (1.65)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Overall the most undervalued stocks were: Newmont Corporation (0.20), American Electric Company (0.21), Duke Energy Corp (0.23), Southern Company (0.24), WEC Energy group (0.24).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We then selected 12 most undervalued stocks form 12 sectors.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These stocks, sectors and beta coefficients are listed  below: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184140" cy="2732405"/>
            <wp:effectExtent l="0" t="0" r="12700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Phase 2: Portfolio Optimization.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Then we carry out portfolio optimization for the 12 under-valued stocks selected in the previous step.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risk free rate is set to : 0.01.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stock weights for the ideal portfolio are given by: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([('AEP', 0.2292), ('AFL', 0.0), ('BRO', 0.29632), ('CVX', 0.0),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('F', 0.0), ('JKHY', 0.0), ('LUV', 0.0), ('MCK', 0.0),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('MSI', 0.26863), ('TJX', 0.20585), ('VICI', 0.0), ('WMT', 0.0)])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Expected annual return: 24.9%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Annual volatility: 12.9%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Sharpe Ratio: 1.77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808095" cy="2564765"/>
            <wp:effectExtent l="0" t="0" r="1905" b="10795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Phase 3: Results: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2"/>
          <w:szCs w:val="22"/>
          <w:lang w:val="en-IN"/>
        </w:rPr>
        <w:t>The 3 year growth of the 4 stocks of optimal portfolio are 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57090" cy="2666365"/>
            <wp:effectExtent l="0" t="0" r="635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Conclusion: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optimal portfolio of most undervalued stocks gave a real time return of 35% in the span of 3 years, even after the real world market conditions. (17.85% for S&amp;P500)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483860" cy="2164715"/>
            <wp:effectExtent l="0" t="0" r="2540" b="1460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BDEA2"/>
    <w:multiLevelType w:val="singleLevel"/>
    <w:tmpl w:val="DE8BDE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A35C1"/>
    <w:rsid w:val="2CC9554F"/>
    <w:rsid w:val="4E59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2023-07-04T01:14:00Z</dcterms:created>
  <dc:creator>rapto</dc:creator>
  <cp:lastModifiedBy>kasuganti saathyak rao</cp:lastModifiedBy>
  <dcterms:modified xsi:type="dcterms:W3CDTF">2024-01-11T16:55:57Z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605601B27C894F6FAA506764A69C051F</vt:lpwstr>
  </property>
</Properties>
</file>