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before="0"/>
        <w:jc w:val="center"/>
      </w:pPr>
      <w:r/>
      <w:r>
        <w:rPr>
          <w:rFonts w:ascii="Calibri" w:hAnsi="Calibri"/>
          <w:b/>
          <w:color w:val="154072"/>
          <w:sz w:val="40"/>
        </w:rPr>
        <w:t>Talend .item to XML + PySpark Converter</w:t>
      </w:r>
    </w:p>
    <w:p>
      <w:pPr>
        <w:spacing w:after="360"/>
        <w:jc w:val="center"/>
      </w:pPr>
      <w:r>
        <w:rPr>
          <w:rFonts w:ascii="Calibri" w:hAnsi="Calibri" w:eastAsia="Calibri"/>
          <w:b w:val="0"/>
          <w:i/>
          <w:sz w:val="24"/>
        </w:rPr>
        <w:t>Project Documentation</w:t>
      </w:r>
    </w:p>
    <w:p>
      <w:pPr>
        <w:spacing w:after="360"/>
        <w:jc w:val="center"/>
      </w:pPr>
      <w:r>
        <w:rPr>
          <w:rFonts w:ascii="Calibri" w:hAnsi="Calibri" w:eastAsia="Calibri"/>
          <w:b w:val="0"/>
          <w:i w:val="0"/>
          <w:sz w:val="22"/>
        </w:rPr>
        <w:t>By : Saatvik</w:t>
      </w:r>
    </w:p>
    <w:p>
      <w:pPr>
        <w:spacing w:after="80" w:before="0"/>
      </w:pPr>
      <w:r>
        <w:rPr>
          <w:rFonts w:ascii="Calibri" w:hAnsi="Calibri"/>
          <w:b w:val="0"/>
          <w:i w:val="0"/>
        </w:rPr>
        <w:t>The application converts Talend .item workflows into XML previews and PySpark notebook code. It supports local file uploads, GitHub profile browsing, optional .properties matching, automated validation, and direct publishing into Databricks.</w:t>
      </w:r>
    </w:p>
    <w:tbl>
      <w:tblPr>
        <w:tblStyle w:val="TableGrid"/>
        <w:tblW w:type="auto" w:w="0"/>
        <w:jc w:val="center"/>
        <w:tblLayout w:type="fixed"/>
        <w:tblLook w:firstColumn="1" w:firstRow="1" w:lastColumn="0" w:lastRow="0" w:noHBand="0" w:noVBand="1" w:val="04A0"/>
      </w:tblPr>
      <w:tblGrid>
        <w:gridCol w:w="2592"/>
        <w:gridCol w:w="7056"/>
      </w:tblGrid>
      <w:tr>
        <w:tc>
          <w:tcPr>
            <w:tcW w:type="dxa" w:w="4968"/>
            <w:vAlign w:val="center"/>
            <w:tcMar>
              <w:top w:w="80" w:type="dxa"/>
              <w:start w:w="100" w:type="dxa"/>
              <w:bottom w:w="80" w:type="dxa"/>
              <w:end w:w="100" w:type="dxa"/>
            </w:tcMar>
            <w:shd w:fill="1F4E79"/>
          </w:tcPr>
          <w:p>
            <w:pPr>
              <w:spacing w:after="20" w:before="0"/>
              <w:jc w:val="center"/>
            </w:pPr>
            <w:r>
              <w:rPr>
                <w:rFonts w:ascii="Calibri" w:hAnsi="Calibri"/>
                <w:b/>
                <w:color w:val="FFFFFF"/>
                <w:sz w:val="19"/>
              </w:rPr>
              <w:t>Area</w:t>
            </w:r>
          </w:p>
        </w:tc>
        <w:tc>
          <w:tcPr>
            <w:tcW w:type="dxa" w:w="4968"/>
            <w:vAlign w:val="center"/>
            <w:tcMar>
              <w:top w:w="80" w:type="dxa"/>
              <w:start w:w="100" w:type="dxa"/>
              <w:bottom w:w="80" w:type="dxa"/>
              <w:end w:w="100" w:type="dxa"/>
            </w:tcMar>
            <w:shd w:fill="1F4E79"/>
          </w:tcPr>
          <w:p>
            <w:pPr>
              <w:spacing w:after="20" w:before="0"/>
              <w:jc w:val="center"/>
            </w:pPr>
            <w:r>
              <w:rPr>
                <w:rFonts w:ascii="Calibri" w:hAnsi="Calibri"/>
                <w:b/>
                <w:color w:val="FFFFFF"/>
                <w:sz w:val="19"/>
              </w:rPr>
              <w:t>Purpose</w:t>
            </w:r>
          </w:p>
        </w:tc>
      </w:tr>
      <w:tr>
        <w:tc>
          <w:tcPr>
            <w:tcW w:type="dxa" w:w="4968"/>
            <w:vAlign w:val="center"/>
            <w:tcMar>
              <w:top w:w="80" w:type="dxa"/>
              <w:start w:w="100" w:type="dxa"/>
              <w:bottom w:w="80" w:type="dxa"/>
              <w:end w:w="100" w:type="dxa"/>
            </w:tcMar>
            <w:shd w:fill="F5F8FC"/>
          </w:tcPr>
          <w:p>
            <w:pPr>
              <w:spacing w:after="20" w:before="0"/>
            </w:pPr>
            <w:r>
              <w:rPr>
                <w:rFonts w:ascii="Calibri" w:hAnsi="Calibri"/>
                <w:sz w:val="19"/>
              </w:rPr>
              <w:t>Frontend</w:t>
            </w:r>
          </w:p>
        </w:tc>
        <w:tc>
          <w:tcPr>
            <w:tcW w:type="dxa" w:w="4968"/>
            <w:vAlign w:val="center"/>
            <w:tcMar>
              <w:top w:w="80" w:type="dxa"/>
              <w:start w:w="100" w:type="dxa"/>
              <w:bottom w:w="80" w:type="dxa"/>
              <w:end w:w="100" w:type="dxa"/>
            </w:tcMar>
            <w:shd w:fill="F5F8FC"/>
          </w:tcPr>
          <w:p>
            <w:pPr>
              <w:spacing w:after="20" w:before="0"/>
            </w:pPr>
            <w:r>
              <w:rPr>
                <w:rFonts w:ascii="Calibri" w:hAnsi="Calibri"/>
                <w:sz w:val="19"/>
              </w:rPr>
              <w:t>Upload files, browse GitHub repositories, preview generated code, and push output to Databricks.</w:t>
            </w:r>
          </w:p>
        </w:tc>
      </w:tr>
      <w:tr>
        <w:tc>
          <w:tcPr>
            <w:tcW w:type="dxa" w:w="4968"/>
            <w:vAlign w:val="center"/>
            <w:tcMar>
              <w:top w:w="80" w:type="dxa"/>
              <w:start w:w="100" w:type="dxa"/>
              <w:bottom w:w="80" w:type="dxa"/>
              <w:end w:w="100" w:type="dxa"/>
            </w:tcMar>
          </w:tcPr>
          <w:p>
            <w:pPr>
              <w:spacing w:after="20" w:before="0"/>
            </w:pPr>
            <w:r>
              <w:rPr>
                <w:rFonts w:ascii="Calibri" w:hAnsi="Calibri"/>
                <w:sz w:val="19"/>
              </w:rPr>
              <w:t>Backend</w:t>
            </w:r>
          </w:p>
        </w:tc>
        <w:tc>
          <w:tcPr>
            <w:tcW w:type="dxa" w:w="4968"/>
            <w:vAlign w:val="center"/>
            <w:tcMar>
              <w:top w:w="80" w:type="dxa"/>
              <w:start w:w="100" w:type="dxa"/>
              <w:bottom w:w="80" w:type="dxa"/>
              <w:end w:w="100" w:type="dxa"/>
            </w:tcMar>
          </w:tcPr>
          <w:p>
            <w:pPr>
              <w:spacing w:after="20" w:before="0"/>
            </w:pPr>
            <w:r>
              <w:rPr>
                <w:rFonts w:ascii="Calibri" w:hAnsi="Calibri"/>
                <w:sz w:val="19"/>
              </w:rPr>
              <w:t>Expose a /convert endpoint that accepts uploaded Talend content and returns conversion results.</w:t>
            </w:r>
          </w:p>
        </w:tc>
      </w:tr>
      <w:tr>
        <w:tc>
          <w:tcPr>
            <w:tcW w:type="dxa" w:w="4968"/>
            <w:vAlign w:val="center"/>
            <w:tcMar>
              <w:top w:w="80" w:type="dxa"/>
              <w:start w:w="100" w:type="dxa"/>
              <w:bottom w:w="80" w:type="dxa"/>
              <w:end w:w="100" w:type="dxa"/>
            </w:tcMar>
            <w:shd w:fill="F5F8FC"/>
          </w:tcPr>
          <w:p>
            <w:pPr>
              <w:spacing w:after="20" w:before="0"/>
            </w:pPr>
            <w:r>
              <w:rPr>
                <w:rFonts w:ascii="Calibri" w:hAnsi="Calibri"/>
                <w:sz w:val="19"/>
              </w:rPr>
              <w:t>Converter</w:t>
            </w:r>
          </w:p>
        </w:tc>
        <w:tc>
          <w:tcPr>
            <w:tcW w:type="dxa" w:w="4968"/>
            <w:vAlign w:val="center"/>
            <w:tcMar>
              <w:top w:w="80" w:type="dxa"/>
              <w:start w:w="100" w:type="dxa"/>
              <w:bottom w:w="80" w:type="dxa"/>
              <w:end w:w="100" w:type="dxa"/>
            </w:tcMar>
            <w:shd w:fill="F5F8FC"/>
          </w:tcPr>
          <w:p>
            <w:pPr>
              <w:spacing w:after="20" w:before="0"/>
            </w:pPr>
            <w:r>
              <w:rPr>
                <w:rFonts w:ascii="Calibri" w:hAnsi="Calibri"/>
                <w:sz w:val="19"/>
              </w:rPr>
              <w:t>Parse XML, parse .properties, generate PySpark, validate output, and repair unsafe paths.</w:t>
            </w:r>
          </w:p>
        </w:tc>
      </w:tr>
    </w:tbl>
    <w:p>
      <w:pPr>
        <w:pStyle w:val="Heading2"/>
        <w:spacing w:after="120" w:before="0"/>
      </w:pPr>
      <w:r>
        <w:rPr>
          <w:rFonts w:ascii="Calibri" w:hAnsi="Calibri"/>
          <w:b w:val="0"/>
          <w:i w:val="0"/>
        </w:rPr>
        <w:t>Key capabilities</w:t>
      </w:r>
    </w:p>
    <w:p>
      <w:pPr>
        <w:pStyle w:val="ListBullet"/>
        <w:spacing w:after="40"/>
      </w:pPr>
      <w:r>
        <w:rPr>
          <w:rFonts w:ascii="Calibri" w:hAnsi="Calibri"/>
        </w:rPr>
        <w:t>Local .item uploads with optional matching .properties files.</w:t>
      </w:r>
    </w:p>
    <w:p>
      <w:pPr>
        <w:pStyle w:val="ListBullet"/>
        <w:spacing w:after="40"/>
      </w:pPr>
      <w:r>
        <w:rPr>
          <w:rFonts w:ascii="Calibri" w:hAnsi="Calibri"/>
        </w:rPr>
        <w:t>GitHub profile -&gt; repository -&gt; branch -&gt; multiple job selection.</w:t>
      </w:r>
    </w:p>
    <w:p>
      <w:pPr>
        <w:pStyle w:val="ListBullet"/>
        <w:spacing w:after="40"/>
      </w:pPr>
      <w:r>
        <w:rPr>
          <w:rFonts w:ascii="Calibri" w:hAnsi="Calibri"/>
        </w:rPr>
        <w:t>Automatic %pip install insertion for detected third-party imports.</w:t>
      </w:r>
    </w:p>
    <w:p>
      <w:pPr>
        <w:pStyle w:val="ListBullet"/>
        <w:spacing w:after="40"/>
      </w:pPr>
      <w:r>
        <w:rPr>
          <w:rFonts w:ascii="Calibri" w:hAnsi="Calibri"/>
        </w:rPr>
        <w:t>Validation and repair for Databricks-incompatible file paths.</w:t>
      </w:r>
    </w:p>
    <w:p>
      <w:pPr>
        <w:pStyle w:val="ListBullet"/>
        <w:spacing w:after="40"/>
      </w:pPr>
      <w:r>
        <w:rPr>
          <w:rFonts w:ascii="Calibri" w:hAnsi="Calibri"/>
        </w:rPr>
        <w:t>Databricks push using a user-provided Unity Catalog volume prefix.</w:t>
      </w:r>
    </w:p>
    <w:p>
      <w:pPr>
        <w:pStyle w:val="ListBullet"/>
        <w:spacing w:after="40"/>
      </w:pPr>
      <w:r>
        <w:rPr>
          <w:rFonts w:ascii="Calibri" w:hAnsi="Calibri"/>
        </w:rPr>
        <w:t>Local vault storage for repeated URLs, tokens, and paths.</w:t>
      </w:r>
    </w:p>
    <w:p>
      <w:pPr>
        <w:pStyle w:val="Heading1"/>
        <w:spacing w:after="120" w:before="0"/>
      </w:pPr>
      <w:r>
        <w:rPr>
          <w:rFonts w:ascii="Calibri" w:hAnsi="Calibri"/>
          <w:b w:val="0"/>
          <w:i w:val="0"/>
        </w:rPr>
        <w:t>2. High-Level Architecture</w:t>
      </w:r>
    </w:p>
    <w:p>
      <w:pPr>
        <w:spacing w:after="80" w:before="0"/>
      </w:pPr>
      <w:r>
        <w:rPr>
          <w:rFonts w:ascii="Calibri" w:hAnsi="Calibri"/>
          <w:b w:val="0"/>
          <w:i w:val="0"/>
        </w:rPr>
        <w:t>The project uses a clear split between UI, API, and conversion logic. The Streamlit app orchestrates user interaction and fallback behavior. The FastAPI backend exists to expose the same conversion logic over HTTP, which is useful for deployments and separation of concerns.</w:t>
      </w:r>
    </w:p>
    <w:tbl>
      <w:tblPr>
        <w:tblStyle w:val="TableGrid"/>
        <w:tblW w:type="auto" w:w="0"/>
        <w:jc w:val="center"/>
        <w:tblLayout w:type="fixed"/>
        <w:tblLook w:firstColumn="1" w:firstRow="1" w:lastColumn="0" w:lastRow="0" w:noHBand="0" w:noVBand="1" w:val="04A0"/>
      </w:tblPr>
      <w:tblGrid>
        <w:gridCol w:w="2088"/>
        <w:gridCol w:w="2376"/>
        <w:gridCol w:w="3312"/>
        <w:gridCol w:w="2088"/>
      </w:tblGrid>
      <w:tr>
        <w:tc>
          <w:tcPr>
            <w:tcW w:type="dxa" w:w="2484"/>
            <w:vAlign w:val="center"/>
            <w:tcMar>
              <w:top w:w="80" w:type="dxa"/>
              <w:start w:w="100" w:type="dxa"/>
              <w:bottom w:w="80" w:type="dxa"/>
              <w:end w:w="100" w:type="dxa"/>
            </w:tcMar>
            <w:shd w:fill="1F4E79"/>
          </w:tcPr>
          <w:p>
            <w:pPr>
              <w:spacing w:after="20" w:before="0"/>
              <w:jc w:val="center"/>
            </w:pPr>
            <w:r>
              <w:rPr>
                <w:rFonts w:ascii="Calibri" w:hAnsi="Calibri"/>
                <w:b/>
                <w:color w:val="FFFFFF"/>
                <w:sz w:val="19"/>
              </w:rPr>
              <w:t>File</w:t>
            </w:r>
          </w:p>
        </w:tc>
        <w:tc>
          <w:tcPr>
            <w:tcW w:type="dxa" w:w="2484"/>
            <w:vAlign w:val="center"/>
            <w:tcMar>
              <w:top w:w="80" w:type="dxa"/>
              <w:start w:w="100" w:type="dxa"/>
              <w:bottom w:w="80" w:type="dxa"/>
              <w:end w:w="100" w:type="dxa"/>
            </w:tcMar>
            <w:shd w:fill="1F4E79"/>
          </w:tcPr>
          <w:p>
            <w:pPr>
              <w:spacing w:after="20" w:before="0"/>
              <w:jc w:val="center"/>
            </w:pPr>
            <w:r>
              <w:rPr>
                <w:rFonts w:ascii="Calibri" w:hAnsi="Calibri"/>
                <w:b/>
                <w:color w:val="FFFFFF"/>
                <w:sz w:val="19"/>
              </w:rPr>
              <w:t>Trigger</w:t>
            </w:r>
          </w:p>
        </w:tc>
        <w:tc>
          <w:tcPr>
            <w:tcW w:type="dxa" w:w="2484"/>
            <w:vAlign w:val="center"/>
            <w:tcMar>
              <w:top w:w="80" w:type="dxa"/>
              <w:start w:w="100" w:type="dxa"/>
              <w:bottom w:w="80" w:type="dxa"/>
              <w:end w:w="100" w:type="dxa"/>
            </w:tcMar>
            <w:shd w:fill="1F4E79"/>
          </w:tcPr>
          <w:p>
            <w:pPr>
              <w:spacing w:after="20" w:before="0"/>
              <w:jc w:val="center"/>
            </w:pPr>
            <w:r>
              <w:rPr>
                <w:rFonts w:ascii="Calibri" w:hAnsi="Calibri"/>
                <w:b/>
                <w:color w:val="FFFFFF"/>
                <w:sz w:val="19"/>
              </w:rPr>
              <w:t>Responsibility</w:t>
            </w:r>
          </w:p>
        </w:tc>
        <w:tc>
          <w:tcPr>
            <w:tcW w:type="dxa" w:w="2484"/>
            <w:vAlign w:val="center"/>
            <w:tcMar>
              <w:top w:w="80" w:type="dxa"/>
              <w:start w:w="100" w:type="dxa"/>
              <w:bottom w:w="80" w:type="dxa"/>
              <w:end w:w="100" w:type="dxa"/>
            </w:tcMar>
            <w:shd w:fill="1F4E79"/>
          </w:tcPr>
          <w:p>
            <w:pPr>
              <w:spacing w:after="20" w:before="0"/>
              <w:jc w:val="center"/>
            </w:pPr>
            <w:r>
              <w:rPr>
                <w:rFonts w:ascii="Calibri" w:hAnsi="Calibri"/>
                <w:b/>
                <w:color w:val="FFFFFF"/>
                <w:sz w:val="19"/>
              </w:rPr>
              <w:t>Output</w:t>
            </w:r>
          </w:p>
        </w:tc>
      </w:tr>
      <w:tr>
        <w:tc>
          <w:tcPr>
            <w:tcW w:type="dxa" w:w="2484"/>
            <w:vAlign w:val="center"/>
            <w:tcMar>
              <w:top w:w="80" w:type="dxa"/>
              <w:start w:w="100" w:type="dxa"/>
              <w:bottom w:w="80" w:type="dxa"/>
              <w:end w:w="100" w:type="dxa"/>
            </w:tcMar>
            <w:shd w:fill="F5F8FC"/>
          </w:tcPr>
          <w:p>
            <w:pPr>
              <w:spacing w:after="20" w:before="0"/>
            </w:pPr>
            <w:r>
              <w:rPr>
                <w:rFonts w:ascii="Calibri" w:hAnsi="Calibri"/>
                <w:sz w:val="19"/>
              </w:rPr>
              <w:t>streamlit_app.py</w:t>
            </w:r>
          </w:p>
        </w:tc>
        <w:tc>
          <w:tcPr>
            <w:tcW w:type="dxa" w:w="2484"/>
            <w:vAlign w:val="center"/>
            <w:tcMar>
              <w:top w:w="80" w:type="dxa"/>
              <w:start w:w="100" w:type="dxa"/>
              <w:bottom w:w="80" w:type="dxa"/>
              <w:end w:w="100" w:type="dxa"/>
            </w:tcMar>
            <w:shd w:fill="F5F8FC"/>
          </w:tcPr>
          <w:p>
            <w:pPr>
              <w:spacing w:after="20" w:before="0"/>
            </w:pPr>
            <w:r>
              <w:rPr>
                <w:rFonts w:ascii="Calibri" w:hAnsi="Calibri"/>
                <w:sz w:val="19"/>
              </w:rPr>
              <w:t>User upload / button click</w:t>
            </w:r>
          </w:p>
        </w:tc>
        <w:tc>
          <w:tcPr>
            <w:tcW w:type="dxa" w:w="2484"/>
            <w:vAlign w:val="center"/>
            <w:tcMar>
              <w:top w:w="80" w:type="dxa"/>
              <w:start w:w="100" w:type="dxa"/>
              <w:bottom w:w="80" w:type="dxa"/>
              <w:end w:w="100" w:type="dxa"/>
            </w:tcMar>
            <w:shd w:fill="F5F8FC"/>
          </w:tcPr>
          <w:p>
            <w:pPr>
              <w:spacing w:after="20" w:before="0"/>
            </w:pPr>
            <w:r>
              <w:rPr>
                <w:rFonts w:ascii="Calibri" w:hAnsi="Calibri"/>
                <w:sz w:val="19"/>
              </w:rPr>
              <w:t>UI, GitHub browsing, vault, Databricks push, and fallback coordination</w:t>
            </w:r>
          </w:p>
        </w:tc>
        <w:tc>
          <w:tcPr>
            <w:tcW w:type="dxa" w:w="2484"/>
            <w:vAlign w:val="center"/>
            <w:tcMar>
              <w:top w:w="80" w:type="dxa"/>
              <w:start w:w="100" w:type="dxa"/>
              <w:bottom w:w="80" w:type="dxa"/>
              <w:end w:w="100" w:type="dxa"/>
            </w:tcMar>
            <w:shd w:fill="F5F8FC"/>
          </w:tcPr>
          <w:p>
            <w:pPr>
              <w:spacing w:after="20" w:before="0"/>
            </w:pPr>
            <w:r>
              <w:rPr>
                <w:rFonts w:ascii="Calibri" w:hAnsi="Calibri"/>
                <w:sz w:val="19"/>
              </w:rPr>
              <w:t>Preview and push actions</w:t>
            </w:r>
          </w:p>
        </w:tc>
      </w:tr>
      <w:tr>
        <w:tc>
          <w:tcPr>
            <w:tcW w:type="dxa" w:w="2484"/>
            <w:vAlign w:val="center"/>
            <w:tcMar>
              <w:top w:w="80" w:type="dxa"/>
              <w:start w:w="100" w:type="dxa"/>
              <w:bottom w:w="80" w:type="dxa"/>
              <w:end w:w="100" w:type="dxa"/>
            </w:tcMar>
          </w:tcPr>
          <w:p>
            <w:pPr>
              <w:spacing w:after="20" w:before="0"/>
            </w:pPr>
            <w:r>
              <w:rPr>
                <w:rFonts w:ascii="Calibri" w:hAnsi="Calibri"/>
                <w:sz w:val="19"/>
              </w:rPr>
              <w:t>api.py</w:t>
            </w:r>
          </w:p>
        </w:tc>
        <w:tc>
          <w:tcPr>
            <w:tcW w:type="dxa" w:w="2484"/>
            <w:vAlign w:val="center"/>
            <w:tcMar>
              <w:top w:w="80" w:type="dxa"/>
              <w:start w:w="100" w:type="dxa"/>
              <w:bottom w:w="80" w:type="dxa"/>
              <w:end w:w="100" w:type="dxa"/>
            </w:tcMar>
          </w:tcPr>
          <w:p>
            <w:pPr>
              <w:spacing w:after="20" w:before="0"/>
            </w:pPr>
            <w:r>
              <w:rPr>
                <w:rFonts w:ascii="Calibri" w:hAnsi="Calibri"/>
                <w:sz w:val="19"/>
              </w:rPr>
              <w:t>POST /convert</w:t>
            </w:r>
          </w:p>
        </w:tc>
        <w:tc>
          <w:tcPr>
            <w:tcW w:type="dxa" w:w="2484"/>
            <w:vAlign w:val="center"/>
            <w:tcMar>
              <w:top w:w="80" w:type="dxa"/>
              <w:start w:w="100" w:type="dxa"/>
              <w:bottom w:w="80" w:type="dxa"/>
              <w:end w:w="100" w:type="dxa"/>
            </w:tcMar>
          </w:tcPr>
          <w:p>
            <w:pPr>
              <w:spacing w:after="20" w:before="0"/>
            </w:pPr>
            <w:r>
              <w:rPr>
                <w:rFonts w:ascii="Calibri" w:hAnsi="Calibri"/>
                <w:sz w:val="19"/>
              </w:rPr>
              <w:t>HTTP wrapper around the converter</w:t>
            </w:r>
          </w:p>
        </w:tc>
        <w:tc>
          <w:tcPr>
            <w:tcW w:type="dxa" w:w="2484"/>
            <w:vAlign w:val="center"/>
            <w:tcMar>
              <w:top w:w="80" w:type="dxa"/>
              <w:start w:w="100" w:type="dxa"/>
              <w:bottom w:w="80" w:type="dxa"/>
              <w:end w:w="100" w:type="dxa"/>
            </w:tcMar>
          </w:tcPr>
          <w:p>
            <w:pPr>
              <w:spacing w:after="20" w:before="0"/>
            </w:pPr>
            <w:r>
              <w:rPr>
                <w:rFonts w:ascii="Calibri" w:hAnsi="Calibri"/>
                <w:sz w:val="19"/>
              </w:rPr>
              <w:t>JSON result</w:t>
            </w:r>
          </w:p>
        </w:tc>
      </w:tr>
      <w:tr>
        <w:tc>
          <w:tcPr>
            <w:tcW w:type="dxa" w:w="2484"/>
            <w:vAlign w:val="center"/>
            <w:tcMar>
              <w:top w:w="80" w:type="dxa"/>
              <w:start w:w="100" w:type="dxa"/>
              <w:bottom w:w="80" w:type="dxa"/>
              <w:end w:w="100" w:type="dxa"/>
            </w:tcMar>
            <w:shd w:fill="F5F8FC"/>
          </w:tcPr>
          <w:p>
            <w:pPr>
              <w:spacing w:after="20" w:before="0"/>
            </w:pPr>
            <w:r>
              <w:rPr>
                <w:rFonts w:ascii="Calibri" w:hAnsi="Calibri"/>
                <w:sz w:val="19"/>
              </w:rPr>
              <w:t>converter.py</w:t>
            </w:r>
          </w:p>
        </w:tc>
        <w:tc>
          <w:tcPr>
            <w:tcW w:type="dxa" w:w="2484"/>
            <w:vAlign w:val="center"/>
            <w:tcMar>
              <w:top w:w="80" w:type="dxa"/>
              <w:start w:w="100" w:type="dxa"/>
              <w:bottom w:w="80" w:type="dxa"/>
              <w:end w:w="100" w:type="dxa"/>
            </w:tcMar>
            <w:shd w:fill="F5F8FC"/>
          </w:tcPr>
          <w:p>
            <w:pPr>
              <w:spacing w:after="20" w:before="0"/>
            </w:pPr>
            <w:r>
              <w:rPr>
                <w:rFonts w:ascii="Calibri" w:hAnsi="Calibri"/>
                <w:sz w:val="19"/>
              </w:rPr>
              <w:t>Called by API or fallback</w:t>
            </w:r>
          </w:p>
        </w:tc>
        <w:tc>
          <w:tcPr>
            <w:tcW w:type="dxa" w:w="2484"/>
            <w:vAlign w:val="center"/>
            <w:tcMar>
              <w:top w:w="80" w:type="dxa"/>
              <w:start w:w="100" w:type="dxa"/>
              <w:bottom w:w="80" w:type="dxa"/>
              <w:end w:w="100" w:type="dxa"/>
            </w:tcMar>
            <w:shd w:fill="F5F8FC"/>
          </w:tcPr>
          <w:p>
            <w:pPr>
              <w:spacing w:after="20" w:before="0"/>
            </w:pPr>
            <w:r>
              <w:rPr>
                <w:rFonts w:ascii="Calibri" w:hAnsi="Calibri"/>
                <w:sz w:val="19"/>
              </w:rPr>
              <w:t>Parse, generate, validate, repair, and normalize paths</w:t>
            </w:r>
          </w:p>
        </w:tc>
        <w:tc>
          <w:tcPr>
            <w:tcW w:type="dxa" w:w="2484"/>
            <w:vAlign w:val="center"/>
            <w:tcMar>
              <w:top w:w="80" w:type="dxa"/>
              <w:start w:w="100" w:type="dxa"/>
              <w:bottom w:w="80" w:type="dxa"/>
              <w:end w:w="100" w:type="dxa"/>
            </w:tcMar>
            <w:shd w:fill="F5F8FC"/>
          </w:tcPr>
          <w:p>
            <w:pPr>
              <w:spacing w:after="20" w:before="0"/>
            </w:pPr>
            <w:r>
              <w:rPr>
                <w:rFonts w:ascii="Calibri" w:hAnsi="Calibri"/>
                <w:sz w:val="19"/>
              </w:rPr>
              <w:t>XML + PySpark</w:t>
            </w:r>
          </w:p>
        </w:tc>
      </w:tr>
      <w:tr>
        <w:tc>
          <w:tcPr>
            <w:tcW w:type="dxa" w:w="2484"/>
            <w:vAlign w:val="center"/>
            <w:tcMar>
              <w:top w:w="80" w:type="dxa"/>
              <w:start w:w="100" w:type="dxa"/>
              <w:bottom w:w="80" w:type="dxa"/>
              <w:end w:w="100" w:type="dxa"/>
            </w:tcMar>
          </w:tcPr>
          <w:p>
            <w:pPr>
              <w:spacing w:after="20" w:before="0"/>
            </w:pPr>
            <w:r>
              <w:rPr>
                <w:rFonts w:ascii="Calibri" w:hAnsi="Calibri"/>
                <w:sz w:val="19"/>
              </w:rPr>
              <w:t>Vault file</w:t>
            </w:r>
          </w:p>
        </w:tc>
        <w:tc>
          <w:tcPr>
            <w:tcW w:type="dxa" w:w="2484"/>
            <w:vAlign w:val="center"/>
            <w:tcMar>
              <w:top w:w="80" w:type="dxa"/>
              <w:start w:w="100" w:type="dxa"/>
              <w:bottom w:w="80" w:type="dxa"/>
              <w:end w:w="100" w:type="dxa"/>
            </w:tcMar>
          </w:tcPr>
          <w:p>
            <w:pPr>
              <w:spacing w:after="20" w:before="0"/>
            </w:pPr>
            <w:r>
              <w:rPr>
                <w:rFonts w:ascii="Calibri" w:hAnsi="Calibri"/>
                <w:sz w:val="19"/>
              </w:rPr>
              <w:t>On startup / save click</w:t>
            </w:r>
          </w:p>
        </w:tc>
        <w:tc>
          <w:tcPr>
            <w:tcW w:type="dxa" w:w="2484"/>
            <w:vAlign w:val="center"/>
            <w:tcMar>
              <w:top w:w="80" w:type="dxa"/>
              <w:start w:w="100" w:type="dxa"/>
              <w:bottom w:w="80" w:type="dxa"/>
              <w:end w:w="100" w:type="dxa"/>
            </w:tcMar>
          </w:tcPr>
          <w:p>
            <w:pPr>
              <w:spacing w:after="20" w:before="0"/>
            </w:pPr>
            <w:r>
              <w:rPr>
                <w:rFonts w:ascii="Calibri" w:hAnsi="Calibri"/>
                <w:sz w:val="19"/>
              </w:rPr>
              <w:t>Persist repeated settings on the local machine</w:t>
            </w:r>
          </w:p>
        </w:tc>
        <w:tc>
          <w:tcPr>
            <w:tcW w:type="dxa" w:w="2484"/>
            <w:vAlign w:val="center"/>
            <w:tcMar>
              <w:top w:w="80" w:type="dxa"/>
              <w:start w:w="100" w:type="dxa"/>
              <w:bottom w:w="80" w:type="dxa"/>
              <w:end w:w="100" w:type="dxa"/>
            </w:tcMar>
          </w:tcPr>
          <w:p>
            <w:pPr>
              <w:spacing w:after="20" w:before="0"/>
            </w:pPr>
            <w:r>
              <w:rPr>
                <w:rFonts w:ascii="Calibri" w:hAnsi="Calibri"/>
                <w:sz w:val="19"/>
              </w:rPr>
              <w:t>Auto-filled UI</w:t>
            </w:r>
          </w:p>
        </w:tc>
      </w:tr>
    </w:tbl>
    <w:p>
      <w:pPr>
        <w:pStyle w:val="Heading1"/>
        <w:spacing w:after="120" w:before="0"/>
      </w:pPr>
      <w:r>
        <w:rPr>
          <w:rFonts w:ascii="Calibri" w:hAnsi="Calibri"/>
          <w:b w:val="0"/>
          <w:i w:val="0"/>
        </w:rPr>
        <w:t>3. Upload and Conversion Workflow</w:t>
      </w:r>
    </w:p>
    <w:p>
      <w:pPr>
        <w:pStyle w:val="ListNumber"/>
        <w:spacing w:after="40"/>
      </w:pPr>
      <w:r>
        <w:rPr>
          <w:rFonts w:ascii="Calibri" w:hAnsi="Calibri"/>
        </w:rPr>
        <w:t>The user uploads a local .item file or picks one from GitHub.</w:t>
      </w:r>
    </w:p>
    <w:p>
      <w:pPr>
        <w:pStyle w:val="ListNumber"/>
        <w:spacing w:after="40"/>
      </w:pPr>
      <w:r>
        <w:rPr>
          <w:rFonts w:ascii="Calibri" w:hAnsi="Calibri"/>
        </w:rPr>
        <w:t>If present, the matching .properties file is loaded and passed into the converter.</w:t>
      </w:r>
    </w:p>
    <w:p>
      <w:pPr>
        <w:pStyle w:val="ListNumber"/>
        <w:spacing w:after="40"/>
      </w:pPr>
      <w:r>
        <w:rPr>
          <w:rFonts w:ascii="Calibri" w:hAnsi="Calibri"/>
        </w:rPr>
        <w:t>The Streamlit app tries the FastAPI backend first.</w:t>
      </w:r>
    </w:p>
    <w:p>
      <w:pPr>
        <w:pStyle w:val="ListNumber"/>
        <w:spacing w:after="40"/>
      </w:pPr>
      <w:r>
        <w:rPr>
          <w:rFonts w:ascii="Calibri" w:hAnsi="Calibri"/>
        </w:rPr>
        <w:t>If the backend is unavailable, the app converts locally through the shared converter module.</w:t>
      </w:r>
    </w:p>
    <w:p>
      <w:pPr>
        <w:pStyle w:val="ListNumber"/>
        <w:spacing w:after="40"/>
      </w:pPr>
      <w:r>
        <w:rPr>
          <w:rFonts w:ascii="Calibri" w:hAnsi="Calibri"/>
        </w:rPr>
        <w:t>The converter generates an XML preview and a PySpark preview.</w:t>
      </w:r>
    </w:p>
    <w:p>
      <w:pPr>
        <w:pStyle w:val="ListNumber"/>
        <w:spacing w:after="40"/>
      </w:pPr>
      <w:r>
        <w:rPr>
          <w:rFonts w:ascii="Calibri" w:hAnsi="Calibri"/>
        </w:rPr>
        <w:t>The output is validated for unsupported paths and repaired when possible.</w:t>
      </w:r>
    </w:p>
    <w:p>
      <w:pPr>
        <w:pStyle w:val="ListNumber"/>
        <w:spacing w:after="40"/>
      </w:pPr>
      <w:r>
        <w:rPr>
          <w:rFonts w:ascii="Calibri" w:hAnsi="Calibri"/>
        </w:rPr>
        <w:t>The final result is displayed in Streamlit, downloadable, and optionally pushed to Databricks.</w:t>
      </w:r>
    </w:p>
    <w:p>
      <w:pPr>
        <w:pStyle w:val="Heading1"/>
        <w:spacing w:after="120" w:before="0"/>
      </w:pPr>
      <w:r>
        <w:rPr>
          <w:rFonts w:ascii="Calibri" w:hAnsi="Calibri"/>
          <w:b w:val="0"/>
          <w:i w:val="0"/>
        </w:rPr>
        <w:t>4. File-by-File Breakdown</w:t>
      </w:r>
    </w:p>
    <w:tbl>
      <w:tblPr>
        <w:tblStyle w:val="TableGrid"/>
        <w:tblW w:type="auto" w:w="0"/>
        <w:jc w:val="center"/>
        <w:tblLayout w:type="fixed"/>
        <w:tblLook w:firstColumn="1" w:firstRow="1" w:lastColumn="0" w:lastRow="0" w:noHBand="0" w:noVBand="1" w:val="04A0"/>
      </w:tblPr>
      <w:tblGrid>
        <w:gridCol w:w="2592"/>
        <w:gridCol w:w="1728"/>
        <w:gridCol w:w="5544"/>
      </w:tblGrid>
      <w:tr>
        <w:tc>
          <w:tcPr>
            <w:tcW w:type="dxa" w:w="3312"/>
            <w:vAlign w:val="center"/>
            <w:tcMar>
              <w:top w:w="80" w:type="dxa"/>
              <w:start w:w="100" w:type="dxa"/>
              <w:bottom w:w="80" w:type="dxa"/>
              <w:end w:w="100" w:type="dxa"/>
            </w:tcMar>
            <w:shd w:fill="1F4E79"/>
          </w:tcPr>
          <w:p>
            <w:pPr>
              <w:spacing w:after="20" w:before="0"/>
              <w:jc w:val="center"/>
            </w:pPr>
            <w:r>
              <w:rPr>
                <w:rFonts w:ascii="Calibri" w:hAnsi="Calibri"/>
                <w:b/>
                <w:color w:val="FFFFFF"/>
                <w:sz w:val="19"/>
              </w:rPr>
              <w:t>File</w:t>
            </w:r>
          </w:p>
        </w:tc>
        <w:tc>
          <w:tcPr>
            <w:tcW w:type="dxa" w:w="3312"/>
            <w:vAlign w:val="center"/>
            <w:tcMar>
              <w:top w:w="80" w:type="dxa"/>
              <w:start w:w="100" w:type="dxa"/>
              <w:bottom w:w="80" w:type="dxa"/>
              <w:end w:w="100" w:type="dxa"/>
            </w:tcMar>
            <w:shd w:fill="1F4E79"/>
          </w:tcPr>
          <w:p>
            <w:pPr>
              <w:spacing w:after="20" w:before="0"/>
              <w:jc w:val="center"/>
            </w:pPr>
            <w:r>
              <w:rPr>
                <w:rFonts w:ascii="Calibri" w:hAnsi="Calibri"/>
                <w:b/>
                <w:color w:val="FFFFFF"/>
                <w:sz w:val="19"/>
              </w:rPr>
              <w:t>Type</w:t>
            </w:r>
          </w:p>
        </w:tc>
        <w:tc>
          <w:tcPr>
            <w:tcW w:type="dxa" w:w="3312"/>
            <w:vAlign w:val="center"/>
            <w:tcMar>
              <w:top w:w="80" w:type="dxa"/>
              <w:start w:w="100" w:type="dxa"/>
              <w:bottom w:w="80" w:type="dxa"/>
              <w:end w:w="100" w:type="dxa"/>
            </w:tcMar>
            <w:shd w:fill="1F4E79"/>
          </w:tcPr>
          <w:p>
            <w:pPr>
              <w:spacing w:after="20" w:before="0"/>
              <w:jc w:val="center"/>
            </w:pPr>
            <w:r>
              <w:rPr>
                <w:rFonts w:ascii="Calibri" w:hAnsi="Calibri"/>
                <w:b/>
                <w:color w:val="FFFFFF"/>
                <w:sz w:val="19"/>
              </w:rPr>
              <w:t>What it does</w:t>
            </w:r>
          </w:p>
        </w:tc>
      </w:tr>
      <w:tr>
        <w:tc>
          <w:tcPr>
            <w:tcW w:type="dxa" w:w="2592"/>
            <w:vAlign w:val="center"/>
            <w:tcMar>
              <w:top w:w="80" w:type="dxa"/>
              <w:start w:w="100" w:type="dxa"/>
              <w:bottom w:w="80" w:type="dxa"/>
              <w:end w:w="100" w:type="dxa"/>
            </w:tcMar>
            <w:shd w:fill="F5F8FC"/>
          </w:tcPr>
          <w:p>
            <w:pPr>
              <w:spacing w:after="20" w:before="0"/>
            </w:pPr>
            <w:r>
              <w:rPr>
                <w:rFonts w:ascii="Calibri" w:hAnsi="Calibri"/>
                <w:sz w:val="19"/>
              </w:rPr>
              <w:t>streamlit_app.py</w:t>
            </w:r>
          </w:p>
        </w:tc>
        <w:tc>
          <w:tcPr>
            <w:tcW w:type="dxa" w:w="1728"/>
            <w:vAlign w:val="center"/>
            <w:tcMar>
              <w:top w:w="80" w:type="dxa"/>
              <w:start w:w="100" w:type="dxa"/>
              <w:bottom w:w="80" w:type="dxa"/>
              <w:end w:w="100" w:type="dxa"/>
            </w:tcMar>
            <w:shd w:fill="F5F8FC"/>
          </w:tcPr>
          <w:p>
            <w:pPr>
              <w:spacing w:after="20" w:before="0"/>
            </w:pPr>
            <w:r>
              <w:rPr>
                <w:rFonts w:ascii="Calibri" w:hAnsi="Calibri"/>
                <w:sz w:val="19"/>
              </w:rPr>
              <w:t>UI</w:t>
            </w:r>
          </w:p>
        </w:tc>
        <w:tc>
          <w:tcPr>
            <w:tcW w:type="dxa" w:w="5544"/>
            <w:vAlign w:val="center"/>
            <w:tcMar>
              <w:top w:w="80" w:type="dxa"/>
              <w:start w:w="100" w:type="dxa"/>
              <w:bottom w:w="80" w:type="dxa"/>
              <w:end w:w="100" w:type="dxa"/>
            </w:tcMar>
            <w:shd w:fill="F5F8FC"/>
          </w:tcPr>
          <w:p>
            <w:pPr>
              <w:spacing w:after="20" w:before="0"/>
            </w:pPr>
            <w:r>
              <w:rPr>
                <w:rFonts w:ascii="Calibri" w:hAnsi="Calibri"/>
                <w:sz w:val="19"/>
              </w:rPr>
              <w:t>Main user interface, file upload, GitHub browsing, Databricks push, and vault management.</w:t>
            </w:r>
          </w:p>
        </w:tc>
      </w:tr>
      <w:tr>
        <w:tc>
          <w:tcPr>
            <w:tcW w:type="dxa" w:w="2592"/>
            <w:vAlign w:val="center"/>
            <w:tcMar>
              <w:top w:w="80" w:type="dxa"/>
              <w:start w:w="100" w:type="dxa"/>
              <w:bottom w:w="80" w:type="dxa"/>
              <w:end w:w="100" w:type="dxa"/>
            </w:tcMar>
          </w:tcPr>
          <w:p>
            <w:pPr>
              <w:spacing w:after="20" w:before="0"/>
            </w:pPr>
            <w:r>
              <w:rPr>
                <w:rFonts w:ascii="Calibri" w:hAnsi="Calibri"/>
                <w:sz w:val="19"/>
              </w:rPr>
              <w:t>talend_converter/api.py</w:t>
            </w:r>
          </w:p>
        </w:tc>
        <w:tc>
          <w:tcPr>
            <w:tcW w:type="dxa" w:w="1728"/>
            <w:vAlign w:val="center"/>
            <w:tcMar>
              <w:top w:w="80" w:type="dxa"/>
              <w:start w:w="100" w:type="dxa"/>
              <w:bottom w:w="80" w:type="dxa"/>
              <w:end w:w="100" w:type="dxa"/>
            </w:tcMar>
          </w:tcPr>
          <w:p>
            <w:pPr>
              <w:spacing w:after="20" w:before="0"/>
            </w:pPr>
            <w:r>
              <w:rPr>
                <w:rFonts w:ascii="Calibri" w:hAnsi="Calibri"/>
                <w:sz w:val="19"/>
              </w:rPr>
              <w:t>API</w:t>
            </w:r>
          </w:p>
        </w:tc>
        <w:tc>
          <w:tcPr>
            <w:tcW w:type="dxa" w:w="5544"/>
            <w:vAlign w:val="center"/>
            <w:tcMar>
              <w:top w:w="80" w:type="dxa"/>
              <w:start w:w="100" w:type="dxa"/>
              <w:bottom w:w="80" w:type="dxa"/>
              <w:end w:w="100" w:type="dxa"/>
            </w:tcMar>
          </w:tcPr>
          <w:p>
            <w:pPr>
              <w:spacing w:after="20" w:before="0"/>
            </w:pPr>
            <w:r>
              <w:rPr>
                <w:rFonts w:ascii="Calibri" w:hAnsi="Calibri"/>
                <w:sz w:val="19"/>
              </w:rPr>
              <w:t>FastAPI endpoint that exposes the same conversion pipeline over HTTP.</w:t>
            </w:r>
          </w:p>
        </w:tc>
      </w:tr>
      <w:tr>
        <w:tc>
          <w:tcPr>
            <w:tcW w:type="dxa" w:w="2592"/>
            <w:vAlign w:val="center"/>
            <w:tcMar>
              <w:top w:w="80" w:type="dxa"/>
              <w:start w:w="100" w:type="dxa"/>
              <w:bottom w:w="80" w:type="dxa"/>
              <w:end w:w="100" w:type="dxa"/>
            </w:tcMar>
            <w:shd w:fill="F5F8FC"/>
          </w:tcPr>
          <w:p>
            <w:pPr>
              <w:spacing w:after="20" w:before="0"/>
            </w:pPr>
            <w:r>
              <w:rPr>
                <w:rFonts w:ascii="Calibri" w:hAnsi="Calibri"/>
                <w:sz w:val="19"/>
              </w:rPr>
              <w:t>talend_converter/converter.py</w:t>
            </w:r>
          </w:p>
        </w:tc>
        <w:tc>
          <w:tcPr>
            <w:tcW w:type="dxa" w:w="1728"/>
            <w:vAlign w:val="center"/>
            <w:tcMar>
              <w:top w:w="80" w:type="dxa"/>
              <w:start w:w="100" w:type="dxa"/>
              <w:bottom w:w="80" w:type="dxa"/>
              <w:end w:w="100" w:type="dxa"/>
            </w:tcMar>
            <w:shd w:fill="F5F8FC"/>
          </w:tcPr>
          <w:p>
            <w:pPr>
              <w:spacing w:after="20" w:before="0"/>
            </w:pPr>
            <w:r>
              <w:rPr>
                <w:rFonts w:ascii="Calibri" w:hAnsi="Calibri"/>
                <w:sz w:val="19"/>
              </w:rPr>
              <w:t>Core</w:t>
            </w:r>
          </w:p>
        </w:tc>
        <w:tc>
          <w:tcPr>
            <w:tcW w:type="dxa" w:w="5544"/>
            <w:vAlign w:val="center"/>
            <w:tcMar>
              <w:top w:w="80" w:type="dxa"/>
              <w:start w:w="100" w:type="dxa"/>
              <w:bottom w:w="80" w:type="dxa"/>
              <w:end w:w="100" w:type="dxa"/>
            </w:tcMar>
            <w:shd w:fill="F5F8FC"/>
          </w:tcPr>
          <w:p>
            <w:pPr>
              <w:spacing w:after="20" w:before="0"/>
            </w:pPr>
            <w:r>
              <w:rPr>
                <w:rFonts w:ascii="Calibri" w:hAnsi="Calibri"/>
                <w:sz w:val="19"/>
              </w:rPr>
              <w:t>Talend XML parsing, properties parsing, Groq generation, fallback scaffolding, validation, and path repair.</w:t>
            </w:r>
          </w:p>
        </w:tc>
      </w:tr>
      <w:tr>
        <w:tc>
          <w:tcPr>
            <w:tcW w:type="dxa" w:w="2592"/>
            <w:vAlign w:val="center"/>
            <w:tcMar>
              <w:top w:w="80" w:type="dxa"/>
              <w:start w:w="100" w:type="dxa"/>
              <w:bottom w:w="80" w:type="dxa"/>
              <w:end w:w="100" w:type="dxa"/>
            </w:tcMar>
          </w:tcPr>
          <w:p>
            <w:pPr>
              <w:spacing w:after="20" w:before="0"/>
            </w:pPr>
            <w:r>
              <w:rPr>
                <w:rFonts w:ascii="Calibri" w:hAnsi="Calibri"/>
                <w:sz w:val="19"/>
              </w:rPr>
              <w:t>README.md</w:t>
            </w:r>
          </w:p>
        </w:tc>
        <w:tc>
          <w:tcPr>
            <w:tcW w:type="dxa" w:w="1728"/>
            <w:vAlign w:val="center"/>
            <w:tcMar>
              <w:top w:w="80" w:type="dxa"/>
              <w:start w:w="100" w:type="dxa"/>
              <w:bottom w:w="80" w:type="dxa"/>
              <w:end w:w="100" w:type="dxa"/>
            </w:tcMar>
          </w:tcPr>
          <w:p>
            <w:pPr>
              <w:spacing w:after="20" w:before="0"/>
            </w:pPr>
            <w:r>
              <w:rPr>
                <w:rFonts w:ascii="Calibri" w:hAnsi="Calibri"/>
                <w:sz w:val="19"/>
              </w:rPr>
              <w:t>Docs</w:t>
            </w:r>
          </w:p>
        </w:tc>
        <w:tc>
          <w:tcPr>
            <w:tcW w:type="dxa" w:w="5544"/>
            <w:vAlign w:val="center"/>
            <w:tcMar>
              <w:top w:w="80" w:type="dxa"/>
              <w:start w:w="100" w:type="dxa"/>
              <w:bottom w:w="80" w:type="dxa"/>
              <w:end w:w="100" w:type="dxa"/>
            </w:tcMar>
          </w:tcPr>
          <w:p>
            <w:pPr>
              <w:spacing w:after="20" w:before="0"/>
            </w:pPr>
            <w:r>
              <w:rPr>
                <w:rFonts w:ascii="Calibri" w:hAnsi="Calibri"/>
                <w:sz w:val="19"/>
              </w:rPr>
              <w:t>Run instructions, environment variables, GitHub import, and Databricks usage notes.</w:t>
            </w:r>
          </w:p>
        </w:tc>
      </w:tr>
      <w:tr>
        <w:tc>
          <w:tcPr>
            <w:tcW w:type="dxa" w:w="2592"/>
            <w:vAlign w:val="center"/>
            <w:tcMar>
              <w:top w:w="80" w:type="dxa"/>
              <w:start w:w="100" w:type="dxa"/>
              <w:bottom w:w="80" w:type="dxa"/>
              <w:end w:w="100" w:type="dxa"/>
            </w:tcMar>
            <w:shd w:fill="F5F8FC"/>
          </w:tcPr>
          <w:p>
            <w:pPr>
              <w:spacing w:after="20" w:before="0"/>
            </w:pPr>
            <w:r>
              <w:rPr>
                <w:rFonts w:ascii="Calibri" w:hAnsi="Calibri"/>
                <w:sz w:val="19"/>
              </w:rPr>
              <w:t>Dockerfile</w:t>
            </w:r>
          </w:p>
        </w:tc>
        <w:tc>
          <w:tcPr>
            <w:tcW w:type="dxa" w:w="1728"/>
            <w:vAlign w:val="center"/>
            <w:tcMar>
              <w:top w:w="80" w:type="dxa"/>
              <w:start w:w="100" w:type="dxa"/>
              <w:bottom w:w="80" w:type="dxa"/>
              <w:end w:w="100" w:type="dxa"/>
            </w:tcMar>
            <w:shd w:fill="F5F8FC"/>
          </w:tcPr>
          <w:p>
            <w:pPr>
              <w:spacing w:after="20" w:before="0"/>
            </w:pPr>
            <w:r>
              <w:rPr>
                <w:rFonts w:ascii="Calibri" w:hAnsi="Calibri"/>
                <w:sz w:val="19"/>
              </w:rPr>
              <w:t>Infra</w:t>
            </w:r>
          </w:p>
        </w:tc>
        <w:tc>
          <w:tcPr>
            <w:tcW w:type="dxa" w:w="5544"/>
            <w:vAlign w:val="center"/>
            <w:tcMar>
              <w:top w:w="80" w:type="dxa"/>
              <w:start w:w="100" w:type="dxa"/>
              <w:bottom w:w="80" w:type="dxa"/>
              <w:end w:w="100" w:type="dxa"/>
            </w:tcMar>
            <w:shd w:fill="F5F8FC"/>
          </w:tcPr>
          <w:p>
            <w:pPr>
              <w:spacing w:after="20" w:before="0"/>
            </w:pPr>
            <w:r>
              <w:rPr>
                <w:rFonts w:ascii="Calibri" w:hAnsi="Calibri"/>
                <w:sz w:val="19"/>
              </w:rPr>
              <w:t>Backend container build recipe.</w:t>
            </w:r>
          </w:p>
        </w:tc>
      </w:tr>
      <w:tr>
        <w:tc>
          <w:tcPr>
            <w:tcW w:type="dxa" w:w="2592"/>
            <w:vAlign w:val="center"/>
            <w:tcMar>
              <w:top w:w="80" w:type="dxa"/>
              <w:start w:w="100" w:type="dxa"/>
              <w:bottom w:w="80" w:type="dxa"/>
              <w:end w:w="100" w:type="dxa"/>
            </w:tcMar>
          </w:tcPr>
          <w:p>
            <w:pPr>
              <w:spacing w:after="20" w:before="0"/>
            </w:pPr>
            <w:r>
              <w:rPr>
                <w:rFonts w:ascii="Calibri" w:hAnsi="Calibri"/>
                <w:sz w:val="19"/>
              </w:rPr>
              <w:t>docker-compose.yml</w:t>
            </w:r>
          </w:p>
        </w:tc>
        <w:tc>
          <w:tcPr>
            <w:tcW w:type="dxa" w:w="1728"/>
            <w:vAlign w:val="center"/>
            <w:tcMar>
              <w:top w:w="80" w:type="dxa"/>
              <w:start w:w="100" w:type="dxa"/>
              <w:bottom w:w="80" w:type="dxa"/>
              <w:end w:w="100" w:type="dxa"/>
            </w:tcMar>
          </w:tcPr>
          <w:p>
            <w:pPr>
              <w:spacing w:after="20" w:before="0"/>
            </w:pPr>
            <w:r>
              <w:rPr>
                <w:rFonts w:ascii="Calibri" w:hAnsi="Calibri"/>
                <w:sz w:val="19"/>
              </w:rPr>
              <w:t>Infra</w:t>
            </w:r>
          </w:p>
        </w:tc>
        <w:tc>
          <w:tcPr>
            <w:tcW w:type="dxa" w:w="5544"/>
            <w:vAlign w:val="center"/>
            <w:tcMar>
              <w:top w:w="80" w:type="dxa"/>
              <w:start w:w="100" w:type="dxa"/>
              <w:bottom w:w="80" w:type="dxa"/>
              <w:end w:w="100" w:type="dxa"/>
            </w:tcMar>
          </w:tcPr>
          <w:p>
            <w:pPr>
              <w:spacing w:after="20" w:before="0"/>
            </w:pPr>
            <w:r>
              <w:rPr>
                <w:rFonts w:ascii="Calibri" w:hAnsi="Calibri"/>
                <w:sz w:val="19"/>
              </w:rPr>
              <w:t>Runs backend and frontend together in containers.</w:t>
            </w:r>
          </w:p>
        </w:tc>
      </w:tr>
      <w:tr>
        <w:tc>
          <w:tcPr>
            <w:tcW w:type="dxa" w:w="2592"/>
            <w:vAlign w:val="center"/>
            <w:tcMar>
              <w:top w:w="80" w:type="dxa"/>
              <w:start w:w="100" w:type="dxa"/>
              <w:bottom w:w="80" w:type="dxa"/>
              <w:end w:w="100" w:type="dxa"/>
            </w:tcMar>
            <w:shd w:fill="F5F8FC"/>
          </w:tcPr>
          <w:p>
            <w:pPr>
              <w:spacing w:after="20" w:before="0"/>
            </w:pPr>
            <w:r>
              <w:rPr>
                <w:rFonts w:ascii="Calibri" w:hAnsi="Calibri"/>
                <w:sz w:val="19"/>
              </w:rPr>
              <w:t>.env.example</w:t>
            </w:r>
          </w:p>
        </w:tc>
        <w:tc>
          <w:tcPr>
            <w:tcW w:type="dxa" w:w="1728"/>
            <w:vAlign w:val="center"/>
            <w:tcMar>
              <w:top w:w="80" w:type="dxa"/>
              <w:start w:w="100" w:type="dxa"/>
              <w:bottom w:w="80" w:type="dxa"/>
              <w:end w:w="100" w:type="dxa"/>
            </w:tcMar>
            <w:shd w:fill="F5F8FC"/>
          </w:tcPr>
          <w:p>
            <w:pPr>
              <w:spacing w:after="20" w:before="0"/>
            </w:pPr>
            <w:r>
              <w:rPr>
                <w:rFonts w:ascii="Calibri" w:hAnsi="Calibri"/>
                <w:sz w:val="19"/>
              </w:rPr>
              <w:t>Config</w:t>
            </w:r>
          </w:p>
        </w:tc>
        <w:tc>
          <w:tcPr>
            <w:tcW w:type="dxa" w:w="5544"/>
            <w:vAlign w:val="center"/>
            <w:tcMar>
              <w:top w:w="80" w:type="dxa"/>
              <w:start w:w="100" w:type="dxa"/>
              <w:bottom w:w="80" w:type="dxa"/>
              <w:end w:w="100" w:type="dxa"/>
            </w:tcMar>
            <w:shd w:fill="F5F8FC"/>
          </w:tcPr>
          <w:p>
            <w:pPr>
              <w:spacing w:after="20" w:before="0"/>
            </w:pPr>
            <w:r>
              <w:rPr>
                <w:rFonts w:ascii="Calibri" w:hAnsi="Calibri"/>
                <w:sz w:val="19"/>
              </w:rPr>
              <w:t>Shows example environment variables without storing secrets.</w:t>
            </w:r>
          </w:p>
        </w:tc>
      </w:tr>
    </w:tbl>
    <w:p>
      <w:pPr>
        <w:pStyle w:val="Heading1"/>
        <w:spacing w:after="120" w:before="0"/>
      </w:pPr>
      <w:r>
        <w:rPr>
          <w:rFonts w:ascii="Calibri" w:hAnsi="Calibri"/>
          <w:b w:val="0"/>
          <w:i w:val="0"/>
        </w:rPr>
        <w:t>5. Configuration and Secrets</w:t>
      </w:r>
    </w:p>
    <w:tbl>
      <w:tblPr>
        <w:tblStyle w:val="TableGrid"/>
        <w:tblW w:type="auto" w:w="0"/>
        <w:jc w:val="center"/>
        <w:tblLayout w:type="fixed"/>
        <w:tblLook w:firstColumn="1" w:firstRow="1" w:lastColumn="0" w:lastRow="0" w:noHBand="0" w:noVBand="1" w:val="04A0"/>
      </w:tblPr>
      <w:tblGrid>
        <w:gridCol w:w="2880"/>
        <w:gridCol w:w="2880"/>
        <w:gridCol w:w="4104"/>
      </w:tblGrid>
      <w:tr>
        <w:tc>
          <w:tcPr>
            <w:tcW w:type="dxa" w:w="3312"/>
            <w:vAlign w:val="center"/>
            <w:tcMar>
              <w:top w:w="80" w:type="dxa"/>
              <w:start w:w="100" w:type="dxa"/>
              <w:bottom w:w="80" w:type="dxa"/>
              <w:end w:w="100" w:type="dxa"/>
            </w:tcMar>
            <w:shd w:fill="1F4E79"/>
          </w:tcPr>
          <w:p>
            <w:pPr>
              <w:spacing w:after="20" w:before="0"/>
              <w:jc w:val="center"/>
            </w:pPr>
            <w:r>
              <w:rPr>
                <w:rFonts w:ascii="Calibri" w:hAnsi="Calibri"/>
                <w:b/>
                <w:color w:val="FFFFFF"/>
                <w:sz w:val="19"/>
              </w:rPr>
              <w:t>Field / variable</w:t>
            </w:r>
          </w:p>
        </w:tc>
        <w:tc>
          <w:tcPr>
            <w:tcW w:type="dxa" w:w="3312"/>
            <w:vAlign w:val="center"/>
            <w:tcMar>
              <w:top w:w="80" w:type="dxa"/>
              <w:start w:w="100" w:type="dxa"/>
              <w:bottom w:w="80" w:type="dxa"/>
              <w:end w:w="100" w:type="dxa"/>
            </w:tcMar>
            <w:shd w:fill="1F4E79"/>
          </w:tcPr>
          <w:p>
            <w:pPr>
              <w:spacing w:after="20" w:before="0"/>
              <w:jc w:val="center"/>
            </w:pPr>
            <w:r>
              <w:rPr>
                <w:rFonts w:ascii="Calibri" w:hAnsi="Calibri"/>
                <w:b/>
                <w:color w:val="FFFFFF"/>
                <w:sz w:val="19"/>
              </w:rPr>
              <w:t>Used by</w:t>
            </w:r>
          </w:p>
        </w:tc>
        <w:tc>
          <w:tcPr>
            <w:tcW w:type="dxa" w:w="3312"/>
            <w:vAlign w:val="center"/>
            <w:tcMar>
              <w:top w:w="80" w:type="dxa"/>
              <w:start w:w="100" w:type="dxa"/>
              <w:bottom w:w="80" w:type="dxa"/>
              <w:end w:w="100" w:type="dxa"/>
            </w:tcMar>
            <w:shd w:fill="1F4E79"/>
          </w:tcPr>
          <w:p>
            <w:pPr>
              <w:spacing w:after="20" w:before="0"/>
              <w:jc w:val="center"/>
            </w:pPr>
            <w:r>
              <w:rPr>
                <w:rFonts w:ascii="Calibri" w:hAnsi="Calibri"/>
                <w:b/>
                <w:color w:val="FFFFFF"/>
                <w:sz w:val="19"/>
              </w:rPr>
              <w:t>Purpose</w:t>
            </w:r>
          </w:p>
        </w:tc>
      </w:tr>
      <w:tr>
        <w:tc>
          <w:tcPr>
            <w:tcW w:type="dxa" w:w="2880"/>
            <w:vAlign w:val="center"/>
            <w:tcMar>
              <w:top w:w="80" w:type="dxa"/>
              <w:start w:w="100" w:type="dxa"/>
              <w:bottom w:w="80" w:type="dxa"/>
              <w:end w:w="100" w:type="dxa"/>
            </w:tcMar>
            <w:shd w:fill="F5F8FC"/>
          </w:tcPr>
          <w:p>
            <w:pPr>
              <w:spacing w:after="20" w:before="0"/>
            </w:pPr>
            <w:r>
              <w:rPr>
                <w:rFonts w:ascii="Calibri" w:hAnsi="Calibri"/>
                <w:sz w:val="19"/>
              </w:rPr>
              <w:t>GROQ_API_KEY</w:t>
            </w:r>
          </w:p>
        </w:tc>
        <w:tc>
          <w:tcPr>
            <w:tcW w:type="dxa" w:w="2880"/>
            <w:vAlign w:val="center"/>
            <w:tcMar>
              <w:top w:w="80" w:type="dxa"/>
              <w:start w:w="100" w:type="dxa"/>
              <w:bottom w:w="80" w:type="dxa"/>
              <w:end w:w="100" w:type="dxa"/>
            </w:tcMar>
            <w:shd w:fill="F5F8FC"/>
          </w:tcPr>
          <w:p>
            <w:pPr>
              <w:spacing w:after="20" w:before="0"/>
            </w:pPr>
            <w:r>
              <w:rPr>
                <w:rFonts w:ascii="Calibri" w:hAnsi="Calibri"/>
                <w:sz w:val="19"/>
              </w:rPr>
              <w:t>Streamlit + API</w:t>
            </w:r>
          </w:p>
        </w:tc>
        <w:tc>
          <w:tcPr>
            <w:tcW w:type="dxa" w:w="4104"/>
            <w:vAlign w:val="center"/>
            <w:tcMar>
              <w:top w:w="80" w:type="dxa"/>
              <w:start w:w="100" w:type="dxa"/>
              <w:bottom w:w="80" w:type="dxa"/>
              <w:end w:w="100" w:type="dxa"/>
            </w:tcMar>
            <w:shd w:fill="F5F8FC"/>
          </w:tcPr>
          <w:p>
            <w:pPr>
              <w:spacing w:after="20" w:before="0"/>
            </w:pPr>
            <w:r>
              <w:rPr>
                <w:rFonts w:ascii="Calibri" w:hAnsi="Calibri"/>
                <w:sz w:val="19"/>
              </w:rPr>
              <w:t>Authenticates Groq generation requests.</w:t>
            </w:r>
          </w:p>
        </w:tc>
      </w:tr>
      <w:tr>
        <w:tc>
          <w:tcPr>
            <w:tcW w:type="dxa" w:w="2880"/>
            <w:vAlign w:val="center"/>
            <w:tcMar>
              <w:top w:w="80" w:type="dxa"/>
              <w:start w:w="100" w:type="dxa"/>
              <w:bottom w:w="80" w:type="dxa"/>
              <w:end w:w="100" w:type="dxa"/>
            </w:tcMar>
          </w:tcPr>
          <w:p>
            <w:pPr>
              <w:spacing w:after="20" w:before="0"/>
            </w:pPr>
            <w:r>
              <w:rPr>
                <w:rFonts w:ascii="Calibri" w:hAnsi="Calibri"/>
                <w:sz w:val="19"/>
              </w:rPr>
              <w:t>GROQ_MODEL</w:t>
            </w:r>
          </w:p>
        </w:tc>
        <w:tc>
          <w:tcPr>
            <w:tcW w:type="dxa" w:w="2880"/>
            <w:vAlign w:val="center"/>
            <w:tcMar>
              <w:top w:w="80" w:type="dxa"/>
              <w:start w:w="100" w:type="dxa"/>
              <w:bottom w:w="80" w:type="dxa"/>
              <w:end w:w="100" w:type="dxa"/>
            </w:tcMar>
          </w:tcPr>
          <w:p>
            <w:pPr>
              <w:spacing w:after="20" w:before="0"/>
            </w:pPr>
            <w:r>
              <w:rPr>
                <w:rFonts w:ascii="Calibri" w:hAnsi="Calibri"/>
                <w:sz w:val="19"/>
              </w:rPr>
              <w:t>Streamlit + API</w:t>
            </w:r>
          </w:p>
        </w:tc>
        <w:tc>
          <w:tcPr>
            <w:tcW w:type="dxa" w:w="4104"/>
            <w:vAlign w:val="center"/>
            <w:tcMar>
              <w:top w:w="80" w:type="dxa"/>
              <w:start w:w="100" w:type="dxa"/>
              <w:bottom w:w="80" w:type="dxa"/>
              <w:end w:w="100" w:type="dxa"/>
            </w:tcMar>
          </w:tcPr>
          <w:p>
            <w:pPr>
              <w:spacing w:after="20" w:before="0"/>
            </w:pPr>
            <w:r>
              <w:rPr>
                <w:rFonts w:ascii="Calibri" w:hAnsi="Calibri"/>
                <w:sz w:val="19"/>
              </w:rPr>
              <w:t>Selects the Groq model to use.</w:t>
            </w:r>
          </w:p>
        </w:tc>
      </w:tr>
      <w:tr>
        <w:tc>
          <w:tcPr>
            <w:tcW w:type="dxa" w:w="2880"/>
            <w:vAlign w:val="center"/>
            <w:tcMar>
              <w:top w:w="80" w:type="dxa"/>
              <w:start w:w="100" w:type="dxa"/>
              <w:bottom w:w="80" w:type="dxa"/>
              <w:end w:w="100" w:type="dxa"/>
            </w:tcMar>
            <w:shd w:fill="F5F8FC"/>
          </w:tcPr>
          <w:p>
            <w:pPr>
              <w:spacing w:after="20" w:before="0"/>
            </w:pPr>
            <w:r>
              <w:rPr>
                <w:rFonts w:ascii="Calibri" w:hAnsi="Calibri"/>
                <w:sz w:val="19"/>
              </w:rPr>
              <w:t>GITHUB_TOKEN</w:t>
            </w:r>
          </w:p>
        </w:tc>
        <w:tc>
          <w:tcPr>
            <w:tcW w:type="dxa" w:w="2880"/>
            <w:vAlign w:val="center"/>
            <w:tcMar>
              <w:top w:w="80" w:type="dxa"/>
              <w:start w:w="100" w:type="dxa"/>
              <w:bottom w:w="80" w:type="dxa"/>
              <w:end w:w="100" w:type="dxa"/>
            </w:tcMar>
            <w:shd w:fill="F5F8FC"/>
          </w:tcPr>
          <w:p>
            <w:pPr>
              <w:spacing w:after="20" w:before="0"/>
            </w:pPr>
            <w:r>
              <w:rPr>
                <w:rFonts w:ascii="Calibri" w:hAnsi="Calibri"/>
                <w:sz w:val="19"/>
              </w:rPr>
              <w:t>Streamlit</w:t>
            </w:r>
          </w:p>
        </w:tc>
        <w:tc>
          <w:tcPr>
            <w:tcW w:type="dxa" w:w="4104"/>
            <w:vAlign w:val="center"/>
            <w:tcMar>
              <w:top w:w="80" w:type="dxa"/>
              <w:start w:w="100" w:type="dxa"/>
              <w:bottom w:w="80" w:type="dxa"/>
              <w:end w:w="100" w:type="dxa"/>
            </w:tcMar>
            <w:shd w:fill="F5F8FC"/>
          </w:tcPr>
          <w:p>
            <w:pPr>
              <w:spacing w:after="20" w:before="0"/>
            </w:pPr>
            <w:r>
              <w:rPr>
                <w:rFonts w:ascii="Calibri" w:hAnsi="Calibri"/>
                <w:sz w:val="19"/>
              </w:rPr>
              <w:t>Allows private GitHub repo access.</w:t>
            </w:r>
          </w:p>
        </w:tc>
      </w:tr>
      <w:tr>
        <w:tc>
          <w:tcPr>
            <w:tcW w:type="dxa" w:w="2880"/>
            <w:vAlign w:val="center"/>
            <w:tcMar>
              <w:top w:w="80" w:type="dxa"/>
              <w:start w:w="100" w:type="dxa"/>
              <w:bottom w:w="80" w:type="dxa"/>
              <w:end w:w="100" w:type="dxa"/>
            </w:tcMar>
          </w:tcPr>
          <w:p>
            <w:pPr>
              <w:spacing w:after="20" w:before="0"/>
            </w:pPr>
            <w:r>
              <w:rPr>
                <w:rFonts w:ascii="Calibri" w:hAnsi="Calibri"/>
                <w:sz w:val="19"/>
              </w:rPr>
              <w:t>DATABRICKS_WORKSPACE_URL</w:t>
            </w:r>
          </w:p>
        </w:tc>
        <w:tc>
          <w:tcPr>
            <w:tcW w:type="dxa" w:w="2880"/>
            <w:vAlign w:val="center"/>
            <w:tcMar>
              <w:top w:w="80" w:type="dxa"/>
              <w:start w:w="100" w:type="dxa"/>
              <w:bottom w:w="80" w:type="dxa"/>
              <w:end w:w="100" w:type="dxa"/>
            </w:tcMar>
          </w:tcPr>
          <w:p>
            <w:pPr>
              <w:spacing w:after="20" w:before="0"/>
            </w:pPr>
            <w:r>
              <w:rPr>
                <w:rFonts w:ascii="Calibri" w:hAnsi="Calibri"/>
                <w:sz w:val="19"/>
              </w:rPr>
              <w:t>Streamlit</w:t>
            </w:r>
          </w:p>
        </w:tc>
        <w:tc>
          <w:tcPr>
            <w:tcW w:type="dxa" w:w="4104"/>
            <w:vAlign w:val="center"/>
            <w:tcMar>
              <w:top w:w="80" w:type="dxa"/>
              <w:start w:w="100" w:type="dxa"/>
              <w:bottom w:w="80" w:type="dxa"/>
              <w:end w:w="100" w:type="dxa"/>
            </w:tcMar>
          </w:tcPr>
          <w:p>
            <w:pPr>
              <w:spacing w:after="20" w:before="0"/>
            </w:pPr>
            <w:r>
              <w:rPr>
                <w:rFonts w:ascii="Calibri" w:hAnsi="Calibri"/>
                <w:sz w:val="19"/>
              </w:rPr>
              <w:t>Base Databricks workspace URL.</w:t>
            </w:r>
          </w:p>
        </w:tc>
      </w:tr>
      <w:tr>
        <w:tc>
          <w:tcPr>
            <w:tcW w:type="dxa" w:w="2880"/>
            <w:vAlign w:val="center"/>
            <w:tcMar>
              <w:top w:w="80" w:type="dxa"/>
              <w:start w:w="100" w:type="dxa"/>
              <w:bottom w:w="80" w:type="dxa"/>
              <w:end w:w="100" w:type="dxa"/>
            </w:tcMar>
            <w:shd w:fill="F5F8FC"/>
          </w:tcPr>
          <w:p>
            <w:pPr>
              <w:spacing w:after="20" w:before="0"/>
            </w:pPr>
            <w:r>
              <w:rPr>
                <w:rFonts w:ascii="Calibri" w:hAnsi="Calibri"/>
                <w:sz w:val="19"/>
              </w:rPr>
              <w:t>DATABRICKS_TOKEN</w:t>
            </w:r>
          </w:p>
        </w:tc>
        <w:tc>
          <w:tcPr>
            <w:tcW w:type="dxa" w:w="2880"/>
            <w:vAlign w:val="center"/>
            <w:tcMar>
              <w:top w:w="80" w:type="dxa"/>
              <w:start w:w="100" w:type="dxa"/>
              <w:bottom w:w="80" w:type="dxa"/>
              <w:end w:w="100" w:type="dxa"/>
            </w:tcMar>
            <w:shd w:fill="F5F8FC"/>
          </w:tcPr>
          <w:p>
            <w:pPr>
              <w:spacing w:after="20" w:before="0"/>
            </w:pPr>
            <w:r>
              <w:rPr>
                <w:rFonts w:ascii="Calibri" w:hAnsi="Calibri"/>
                <w:sz w:val="19"/>
              </w:rPr>
              <w:t>Streamlit</w:t>
            </w:r>
          </w:p>
        </w:tc>
        <w:tc>
          <w:tcPr>
            <w:tcW w:type="dxa" w:w="4104"/>
            <w:vAlign w:val="center"/>
            <w:tcMar>
              <w:top w:w="80" w:type="dxa"/>
              <w:start w:w="100" w:type="dxa"/>
              <w:bottom w:w="80" w:type="dxa"/>
              <w:end w:w="100" w:type="dxa"/>
            </w:tcMar>
            <w:shd w:fill="F5F8FC"/>
          </w:tcPr>
          <w:p>
            <w:pPr>
              <w:spacing w:after="20" w:before="0"/>
            </w:pPr>
            <w:r>
              <w:rPr>
                <w:rFonts w:ascii="Calibri" w:hAnsi="Calibri"/>
                <w:sz w:val="19"/>
              </w:rPr>
              <w:t>Databricks personal access token.</w:t>
            </w:r>
          </w:p>
        </w:tc>
      </w:tr>
      <w:tr>
        <w:tc>
          <w:tcPr>
            <w:tcW w:type="dxa" w:w="2880"/>
            <w:vAlign w:val="center"/>
            <w:tcMar>
              <w:top w:w="80" w:type="dxa"/>
              <w:start w:w="100" w:type="dxa"/>
              <w:bottom w:w="80" w:type="dxa"/>
              <w:end w:w="100" w:type="dxa"/>
            </w:tcMar>
          </w:tcPr>
          <w:p>
            <w:pPr>
              <w:spacing w:after="20" w:before="0"/>
            </w:pPr>
            <w:r>
              <w:rPr>
                <w:rFonts w:ascii="Calibri" w:hAnsi="Calibri"/>
                <w:sz w:val="19"/>
              </w:rPr>
              <w:t>DATABRICKS_TARGET_PATH</w:t>
            </w:r>
          </w:p>
        </w:tc>
        <w:tc>
          <w:tcPr>
            <w:tcW w:type="dxa" w:w="2880"/>
            <w:vAlign w:val="center"/>
            <w:tcMar>
              <w:top w:w="80" w:type="dxa"/>
              <w:start w:w="100" w:type="dxa"/>
              <w:bottom w:w="80" w:type="dxa"/>
              <w:end w:w="100" w:type="dxa"/>
            </w:tcMar>
          </w:tcPr>
          <w:p>
            <w:pPr>
              <w:spacing w:after="20" w:before="0"/>
            </w:pPr>
            <w:r>
              <w:rPr>
                <w:rFonts w:ascii="Calibri" w:hAnsi="Calibri"/>
                <w:sz w:val="19"/>
              </w:rPr>
              <w:t>Streamlit</w:t>
            </w:r>
          </w:p>
        </w:tc>
        <w:tc>
          <w:tcPr>
            <w:tcW w:type="dxa" w:w="4104"/>
            <w:vAlign w:val="center"/>
            <w:tcMar>
              <w:top w:w="80" w:type="dxa"/>
              <w:start w:w="100" w:type="dxa"/>
              <w:bottom w:w="80" w:type="dxa"/>
              <w:end w:w="100" w:type="dxa"/>
            </w:tcMar>
          </w:tcPr>
          <w:p>
            <w:pPr>
              <w:spacing w:after="20" w:before="0"/>
            </w:pPr>
            <w:r>
              <w:rPr>
                <w:rFonts w:ascii="Calibri" w:hAnsi="Calibri"/>
                <w:sz w:val="19"/>
              </w:rPr>
              <w:t>Default Databricks file or folder path.</w:t>
            </w:r>
          </w:p>
        </w:tc>
      </w:tr>
      <w:tr>
        <w:tc>
          <w:tcPr>
            <w:tcW w:type="dxa" w:w="2880"/>
            <w:vAlign w:val="center"/>
            <w:tcMar>
              <w:top w:w="80" w:type="dxa"/>
              <w:start w:w="100" w:type="dxa"/>
              <w:bottom w:w="80" w:type="dxa"/>
              <w:end w:w="100" w:type="dxa"/>
            </w:tcMar>
            <w:shd w:fill="F5F8FC"/>
          </w:tcPr>
          <w:p>
            <w:pPr>
              <w:spacing w:after="20" w:before="0"/>
            </w:pPr>
            <w:r>
              <w:rPr>
                <w:rFonts w:ascii="Calibri" w:hAnsi="Calibri"/>
                <w:sz w:val="19"/>
              </w:rPr>
              <w:t>DATABRICKS_ROOT_PATH</w:t>
            </w:r>
          </w:p>
        </w:tc>
        <w:tc>
          <w:tcPr>
            <w:tcW w:type="dxa" w:w="2880"/>
            <w:vAlign w:val="center"/>
            <w:tcMar>
              <w:top w:w="80" w:type="dxa"/>
              <w:start w:w="100" w:type="dxa"/>
              <w:bottom w:w="80" w:type="dxa"/>
              <w:end w:w="100" w:type="dxa"/>
            </w:tcMar>
            <w:shd w:fill="F5F8FC"/>
          </w:tcPr>
          <w:p>
            <w:pPr>
              <w:spacing w:after="20" w:before="0"/>
            </w:pPr>
            <w:r>
              <w:rPr>
                <w:rFonts w:ascii="Calibri" w:hAnsi="Calibri"/>
                <w:sz w:val="19"/>
              </w:rPr>
              <w:t>Streamlit</w:t>
            </w:r>
          </w:p>
        </w:tc>
        <w:tc>
          <w:tcPr>
            <w:tcW w:type="dxa" w:w="4104"/>
            <w:vAlign w:val="center"/>
            <w:tcMar>
              <w:top w:w="80" w:type="dxa"/>
              <w:start w:w="100" w:type="dxa"/>
              <w:bottom w:w="80" w:type="dxa"/>
              <w:end w:w="100" w:type="dxa"/>
            </w:tcMar>
            <w:shd w:fill="F5F8FC"/>
          </w:tcPr>
          <w:p>
            <w:pPr>
              <w:spacing w:after="20" w:before="0"/>
            </w:pPr>
            <w:r>
              <w:rPr>
                <w:rFonts w:ascii="Calibri" w:hAnsi="Calibri"/>
                <w:sz w:val="19"/>
              </w:rPr>
              <w:t>Root folder used when browsing the workspace tree.</w:t>
            </w:r>
          </w:p>
        </w:tc>
      </w:tr>
      <w:tr>
        <w:tc>
          <w:tcPr>
            <w:tcW w:type="dxa" w:w="2880"/>
            <w:vAlign w:val="center"/>
            <w:tcMar>
              <w:top w:w="80" w:type="dxa"/>
              <w:start w:w="100" w:type="dxa"/>
              <w:bottom w:w="80" w:type="dxa"/>
              <w:end w:w="100" w:type="dxa"/>
            </w:tcMar>
          </w:tcPr>
          <w:p>
            <w:pPr>
              <w:spacing w:after="20" w:before="0"/>
            </w:pPr>
            <w:r>
              <w:rPr>
                <w:rFonts w:ascii="Calibri" w:hAnsi="Calibri"/>
                <w:sz w:val="19"/>
              </w:rPr>
              <w:t>DATABRICKS_VOLUME_PREFIX</w:t>
            </w:r>
          </w:p>
        </w:tc>
        <w:tc>
          <w:tcPr>
            <w:tcW w:type="dxa" w:w="2880"/>
            <w:vAlign w:val="center"/>
            <w:tcMar>
              <w:top w:w="80" w:type="dxa"/>
              <w:start w:w="100" w:type="dxa"/>
              <w:bottom w:w="80" w:type="dxa"/>
              <w:end w:w="100" w:type="dxa"/>
            </w:tcMar>
          </w:tcPr>
          <w:p>
            <w:pPr>
              <w:spacing w:after="20" w:before="0"/>
            </w:pPr>
            <w:r>
              <w:rPr>
                <w:rFonts w:ascii="Calibri" w:hAnsi="Calibri"/>
                <w:sz w:val="19"/>
              </w:rPr>
              <w:t>Converter + Streamlit</w:t>
            </w:r>
          </w:p>
        </w:tc>
        <w:tc>
          <w:tcPr>
            <w:tcW w:type="dxa" w:w="4104"/>
            <w:vAlign w:val="center"/>
            <w:tcMar>
              <w:top w:w="80" w:type="dxa"/>
              <w:start w:w="100" w:type="dxa"/>
              <w:bottom w:w="80" w:type="dxa"/>
              <w:end w:w="100" w:type="dxa"/>
            </w:tcMar>
          </w:tcPr>
          <w:p>
            <w:pPr>
              <w:spacing w:after="20" w:before="0"/>
            </w:pPr>
            <w:r>
              <w:rPr>
                <w:rFonts w:ascii="Calibri" w:hAnsi="Calibri"/>
                <w:sz w:val="19"/>
              </w:rPr>
              <w:t>Exact Unity Catalog volume prefix used for rewritten file paths.</w:t>
            </w:r>
          </w:p>
        </w:tc>
      </w:tr>
    </w:tbl>
    <w:p>
      <w:pPr>
        <w:pStyle w:val="Heading1"/>
        <w:spacing w:after="120" w:before="0"/>
      </w:pPr>
      <w:r>
        <w:rPr>
          <w:rFonts w:ascii="Calibri" w:hAnsi="Calibri"/>
          <w:b w:val="0"/>
          <w:i w:val="0"/>
        </w:rPr>
        <w:t>6. Databricks Path Strategy</w:t>
      </w:r>
    </w:p>
    <w:p>
      <w:pPr>
        <w:pStyle w:val="ListBullet"/>
        <w:spacing w:after="40"/>
      </w:pPr>
      <w:r>
        <w:rPr>
          <w:rFonts w:ascii="Calibri" w:hAnsi="Calibri"/>
        </w:rPr>
        <w:t>Windows drive letters such as C:/ are rewritten because Databricks cannot use them directly.</w:t>
      </w:r>
    </w:p>
    <w:p>
      <w:pPr>
        <w:pStyle w:val="ListBullet"/>
        <w:spacing w:after="40"/>
      </w:pPr>
      <w:r>
        <w:rPr>
          <w:rFonts w:ascii="Calibri" w:hAnsi="Calibri"/>
        </w:rPr>
        <w:t>DBFS root and /dbfs/... paths are also rewritten because this workspace has DBFS root disabled.</w:t>
      </w:r>
    </w:p>
    <w:p>
      <w:pPr>
        <w:pStyle w:val="ListBullet"/>
        <w:spacing w:after="40"/>
      </w:pPr>
      <w:r>
        <w:rPr>
          <w:rFonts w:ascii="Calibri" w:hAnsi="Calibri"/>
        </w:rPr>
        <w:t>The app now asks for a Databricks volume prefix and rewrites paths to that exact prefix.</w:t>
      </w:r>
    </w:p>
    <w:p>
      <w:pPr>
        <w:pStyle w:val="ListBullet"/>
        <w:spacing w:after="40"/>
      </w:pPr>
      <w:r>
        <w:rPr>
          <w:rFonts w:ascii="Calibri" w:hAnsi="Calibri"/>
        </w:rPr>
        <w:t>The default volume prefix can be overridden in the UI or with DATABRICKS_VOLUME_PREFIX.</w:t>
      </w:r>
    </w:p>
    <w:p>
      <w:pPr>
        <w:pStyle w:val="ListBullet"/>
        <w:spacing w:after="40"/>
      </w:pPr>
      <w:r>
        <w:rPr>
          <w:rFonts w:ascii="Calibri" w:hAnsi="Calibri"/>
        </w:rPr>
        <w:t>If the target volume does not exist, the push will still fail until the correct volume is provided in Databricks.</w:t>
      </w:r>
    </w:p>
    <w:p>
      <w:pPr>
        <w:pStyle w:val="Heading1"/>
        <w:spacing w:after="120" w:before="0"/>
      </w:pPr>
      <w:r>
        <w:rPr>
          <w:rFonts w:ascii="Calibri" w:hAnsi="Calibri"/>
          <w:b w:val="0"/>
          <w:i w:val="0"/>
        </w:rPr>
        <w:t>7. Validation and Repair Logic</w:t>
      </w:r>
    </w:p>
    <w:p>
      <w:pPr>
        <w:pStyle w:val="ListBullet"/>
        <w:spacing w:after="40"/>
      </w:pPr>
      <w:r>
        <w:rPr>
          <w:rFonts w:ascii="Calibri" w:hAnsi="Calibri"/>
        </w:rPr>
        <w:t>Groq generation runs at temperature 0.0 for more stable outputs.</w:t>
      </w:r>
    </w:p>
    <w:p>
      <w:pPr>
        <w:pStyle w:val="ListBullet"/>
        <w:spacing w:after="40"/>
      </w:pPr>
      <w:r>
        <w:rPr>
          <w:rFonts w:ascii="Calibri" w:hAnsi="Calibri"/>
        </w:rPr>
        <w:t>The converter caches repeated conversions by content and settings.</w:t>
      </w:r>
    </w:p>
    <w:p>
      <w:pPr>
        <w:pStyle w:val="ListBullet"/>
        <w:spacing w:after="40"/>
      </w:pPr>
      <w:r>
        <w:rPr>
          <w:rFonts w:ascii="Calibri" w:hAnsi="Calibri"/>
        </w:rPr>
        <w:t>If third-party imports are detected, %pip install lines are inserted before the code.</w:t>
      </w:r>
    </w:p>
    <w:p>
      <w:pPr>
        <w:pStyle w:val="ListBullet"/>
        <w:spacing w:after="40"/>
      </w:pPr>
      <w:r>
        <w:rPr>
          <w:rFonts w:ascii="Calibri" w:hAnsi="Calibri"/>
        </w:rPr>
        <w:t>The validation pass checks for Windows paths, dbfs:/ paths, and /dbfs/ mount usage.</w:t>
      </w:r>
    </w:p>
    <w:p>
      <w:pPr>
        <w:pStyle w:val="ListBullet"/>
        <w:spacing w:after="40"/>
      </w:pPr>
      <w:r>
        <w:rPr>
          <w:rFonts w:ascii="Calibri" w:hAnsi="Calibri"/>
        </w:rPr>
        <w:t>If the code still looks unsafe and Groq is available, the app sends a repair prompt to regenerate the code with the issues fixed.</w:t>
      </w:r>
    </w:p>
    <w:p>
      <w:pPr>
        <w:pStyle w:val="Heading1"/>
        <w:spacing w:after="120" w:before="0"/>
      </w:pPr>
      <w:r>
        <w:rPr>
          <w:rFonts w:ascii="Calibri" w:hAnsi="Calibri"/>
          <w:b w:val="0"/>
          <w:i w:val="0"/>
        </w:rPr>
        <w:t>8. Runtime Behavior by Scenario</w:t>
      </w:r>
    </w:p>
    <w:tbl>
      <w:tblPr>
        <w:tblStyle w:val="TableGrid"/>
        <w:tblW w:type="auto" w:w="0"/>
        <w:jc w:val="center"/>
        <w:tblLayout w:type="fixed"/>
        <w:tblLook w:firstColumn="1" w:firstRow="1" w:lastColumn="0" w:lastRow="0" w:noHBand="0" w:noVBand="1" w:val="04A0"/>
      </w:tblPr>
      <w:tblGrid>
        <w:gridCol w:w="2664"/>
        <w:gridCol w:w="3456"/>
        <w:gridCol w:w="3744"/>
      </w:tblGrid>
      <w:tr>
        <w:tc>
          <w:tcPr>
            <w:tcW w:type="dxa" w:w="3312"/>
            <w:vAlign w:val="center"/>
            <w:tcMar>
              <w:top w:w="80" w:type="dxa"/>
              <w:start w:w="100" w:type="dxa"/>
              <w:bottom w:w="80" w:type="dxa"/>
              <w:end w:w="100" w:type="dxa"/>
            </w:tcMar>
            <w:shd w:fill="1F4E79"/>
          </w:tcPr>
          <w:p>
            <w:pPr>
              <w:spacing w:after="20" w:before="0"/>
              <w:jc w:val="center"/>
            </w:pPr>
            <w:r>
              <w:rPr>
                <w:rFonts w:ascii="Calibri" w:hAnsi="Calibri"/>
                <w:b/>
                <w:color w:val="FFFFFF"/>
                <w:sz w:val="19"/>
              </w:rPr>
              <w:t>Scenario</w:t>
            </w:r>
          </w:p>
        </w:tc>
        <w:tc>
          <w:tcPr>
            <w:tcW w:type="dxa" w:w="3312"/>
            <w:vAlign w:val="center"/>
            <w:tcMar>
              <w:top w:w="80" w:type="dxa"/>
              <w:start w:w="100" w:type="dxa"/>
              <w:bottom w:w="80" w:type="dxa"/>
              <w:end w:w="100" w:type="dxa"/>
            </w:tcMar>
            <w:shd w:fill="1F4E79"/>
          </w:tcPr>
          <w:p>
            <w:pPr>
              <w:spacing w:after="20" w:before="0"/>
              <w:jc w:val="center"/>
            </w:pPr>
            <w:r>
              <w:rPr>
                <w:rFonts w:ascii="Calibri" w:hAnsi="Calibri"/>
                <w:b/>
                <w:color w:val="FFFFFF"/>
                <w:sz w:val="19"/>
              </w:rPr>
              <w:t>What happens</w:t>
            </w:r>
          </w:p>
        </w:tc>
        <w:tc>
          <w:tcPr>
            <w:tcW w:type="dxa" w:w="3312"/>
            <w:vAlign w:val="center"/>
            <w:tcMar>
              <w:top w:w="80" w:type="dxa"/>
              <w:start w:w="100" w:type="dxa"/>
              <w:bottom w:w="80" w:type="dxa"/>
              <w:end w:w="100" w:type="dxa"/>
            </w:tcMar>
            <w:shd w:fill="1F4E79"/>
          </w:tcPr>
          <w:p>
            <w:pPr>
              <w:spacing w:after="20" w:before="0"/>
              <w:jc w:val="center"/>
            </w:pPr>
            <w:r>
              <w:rPr>
                <w:rFonts w:ascii="Calibri" w:hAnsi="Calibri"/>
                <w:b/>
                <w:color w:val="FFFFFF"/>
                <w:sz w:val="19"/>
              </w:rPr>
              <w:t>Result</w:t>
            </w:r>
          </w:p>
        </w:tc>
      </w:tr>
      <w:tr>
        <w:tc>
          <w:tcPr>
            <w:tcW w:type="dxa" w:w="2664"/>
            <w:vAlign w:val="center"/>
            <w:tcMar>
              <w:top w:w="80" w:type="dxa"/>
              <w:start w:w="100" w:type="dxa"/>
              <w:bottom w:w="80" w:type="dxa"/>
              <w:end w:w="100" w:type="dxa"/>
            </w:tcMar>
            <w:shd w:fill="F5F8FC"/>
          </w:tcPr>
          <w:p>
            <w:pPr>
              <w:spacing w:after="20" w:before="0"/>
            </w:pPr>
            <w:r>
              <w:rPr>
                <w:rFonts w:ascii="Calibri" w:hAnsi="Calibri"/>
                <w:sz w:val="19"/>
              </w:rPr>
              <w:t>Local upload</w:t>
            </w:r>
          </w:p>
        </w:tc>
        <w:tc>
          <w:tcPr>
            <w:tcW w:type="dxa" w:w="3456"/>
            <w:vAlign w:val="center"/>
            <w:tcMar>
              <w:top w:w="80" w:type="dxa"/>
              <w:start w:w="100" w:type="dxa"/>
              <w:bottom w:w="80" w:type="dxa"/>
              <w:end w:w="100" w:type="dxa"/>
            </w:tcMar>
            <w:shd w:fill="F5F8FC"/>
          </w:tcPr>
          <w:p>
            <w:pPr>
              <w:spacing w:after="20" w:before="0"/>
            </w:pPr>
            <w:r>
              <w:rPr>
                <w:rFonts w:ascii="Calibri" w:hAnsi="Calibri"/>
                <w:sz w:val="19"/>
              </w:rPr>
              <w:t>Item and optional properties are read from the file uploader.</w:t>
            </w:r>
          </w:p>
        </w:tc>
        <w:tc>
          <w:tcPr>
            <w:tcW w:type="dxa" w:w="3744"/>
            <w:vAlign w:val="center"/>
            <w:tcMar>
              <w:top w:w="80" w:type="dxa"/>
              <w:start w:w="100" w:type="dxa"/>
              <w:bottom w:w="80" w:type="dxa"/>
              <w:end w:w="100" w:type="dxa"/>
            </w:tcMar>
            <w:shd w:fill="F5F8FC"/>
          </w:tcPr>
          <w:p>
            <w:pPr>
              <w:spacing w:after="20" w:before="0"/>
            </w:pPr>
            <w:r>
              <w:rPr>
                <w:rFonts w:ascii="Calibri" w:hAnsi="Calibri"/>
                <w:sz w:val="19"/>
              </w:rPr>
              <w:t>XML and PySpark previews appear in the UI.</w:t>
            </w:r>
          </w:p>
        </w:tc>
      </w:tr>
      <w:tr>
        <w:tc>
          <w:tcPr>
            <w:tcW w:type="dxa" w:w="2664"/>
            <w:vAlign w:val="center"/>
            <w:tcMar>
              <w:top w:w="80" w:type="dxa"/>
              <w:start w:w="100" w:type="dxa"/>
              <w:bottom w:w="80" w:type="dxa"/>
              <w:end w:w="100" w:type="dxa"/>
            </w:tcMar>
          </w:tcPr>
          <w:p>
            <w:pPr>
              <w:spacing w:after="20" w:before="0"/>
            </w:pPr>
            <w:r>
              <w:rPr>
                <w:rFonts w:ascii="Calibri" w:hAnsi="Calibri"/>
                <w:sz w:val="19"/>
              </w:rPr>
              <w:t>GitHub load</w:t>
            </w:r>
          </w:p>
        </w:tc>
        <w:tc>
          <w:tcPr>
            <w:tcW w:type="dxa" w:w="3456"/>
            <w:vAlign w:val="center"/>
            <w:tcMar>
              <w:top w:w="80" w:type="dxa"/>
              <w:start w:w="100" w:type="dxa"/>
              <w:bottom w:w="80" w:type="dxa"/>
              <w:end w:w="100" w:type="dxa"/>
            </w:tcMar>
          </w:tcPr>
          <w:p>
            <w:pPr>
              <w:spacing w:after="20" w:before="0"/>
            </w:pPr>
            <w:r>
              <w:rPr>
                <w:rFonts w:ascii="Calibri" w:hAnsi="Calibri"/>
                <w:sz w:val="19"/>
              </w:rPr>
              <w:t>Repos, branches, and jobs are fetched from GitHub.</w:t>
            </w:r>
          </w:p>
        </w:tc>
        <w:tc>
          <w:tcPr>
            <w:tcW w:type="dxa" w:w="3744"/>
            <w:vAlign w:val="center"/>
            <w:tcMar>
              <w:top w:w="80" w:type="dxa"/>
              <w:start w:w="100" w:type="dxa"/>
              <w:bottom w:w="80" w:type="dxa"/>
              <w:end w:w="100" w:type="dxa"/>
            </w:tcMar>
          </w:tcPr>
          <w:p>
            <w:pPr>
              <w:spacing w:after="20" w:before="0"/>
            </w:pPr>
            <w:r>
              <w:rPr>
                <w:rFonts w:ascii="Calibri" w:hAnsi="Calibri"/>
                <w:sz w:val="19"/>
              </w:rPr>
              <w:t>One or more jobs are converted in batch.</w:t>
            </w:r>
          </w:p>
        </w:tc>
      </w:tr>
      <w:tr>
        <w:tc>
          <w:tcPr>
            <w:tcW w:type="dxa" w:w="2664"/>
            <w:vAlign w:val="center"/>
            <w:tcMar>
              <w:top w:w="80" w:type="dxa"/>
              <w:start w:w="100" w:type="dxa"/>
              <w:bottom w:w="80" w:type="dxa"/>
              <w:end w:w="100" w:type="dxa"/>
            </w:tcMar>
            <w:shd w:fill="F5F8FC"/>
          </w:tcPr>
          <w:p>
            <w:pPr>
              <w:spacing w:after="20" w:before="0"/>
            </w:pPr>
            <w:r>
              <w:rPr>
                <w:rFonts w:ascii="Calibri" w:hAnsi="Calibri"/>
                <w:sz w:val="19"/>
              </w:rPr>
              <w:t>Backend up</w:t>
            </w:r>
          </w:p>
        </w:tc>
        <w:tc>
          <w:tcPr>
            <w:tcW w:type="dxa" w:w="3456"/>
            <w:vAlign w:val="center"/>
            <w:tcMar>
              <w:top w:w="80" w:type="dxa"/>
              <w:start w:w="100" w:type="dxa"/>
              <w:bottom w:w="80" w:type="dxa"/>
              <w:end w:w="100" w:type="dxa"/>
            </w:tcMar>
            <w:shd w:fill="F5F8FC"/>
          </w:tcPr>
          <w:p>
            <w:pPr>
              <w:spacing w:after="20" w:before="0"/>
            </w:pPr>
            <w:r>
              <w:rPr>
                <w:rFonts w:ascii="Calibri" w:hAnsi="Calibri"/>
                <w:sz w:val="19"/>
              </w:rPr>
              <w:t>Streamlit posts the upload to FastAPI /convert.</w:t>
            </w:r>
          </w:p>
        </w:tc>
        <w:tc>
          <w:tcPr>
            <w:tcW w:type="dxa" w:w="3744"/>
            <w:vAlign w:val="center"/>
            <w:tcMar>
              <w:top w:w="80" w:type="dxa"/>
              <w:start w:w="100" w:type="dxa"/>
              <w:bottom w:w="80" w:type="dxa"/>
              <w:end w:w="100" w:type="dxa"/>
            </w:tcMar>
            <w:shd w:fill="F5F8FC"/>
          </w:tcPr>
          <w:p>
            <w:pPr>
              <w:spacing w:after="20" w:before="0"/>
            </w:pPr>
            <w:r>
              <w:rPr>
                <w:rFonts w:ascii="Calibri" w:hAnsi="Calibri"/>
                <w:sz w:val="19"/>
              </w:rPr>
              <w:t>Conversion is handled by the backend.</w:t>
            </w:r>
          </w:p>
        </w:tc>
      </w:tr>
      <w:tr>
        <w:tc>
          <w:tcPr>
            <w:tcW w:type="dxa" w:w="2664"/>
            <w:vAlign w:val="center"/>
            <w:tcMar>
              <w:top w:w="80" w:type="dxa"/>
              <w:start w:w="100" w:type="dxa"/>
              <w:bottom w:w="80" w:type="dxa"/>
              <w:end w:w="100" w:type="dxa"/>
            </w:tcMar>
          </w:tcPr>
          <w:p>
            <w:pPr>
              <w:spacing w:after="20" w:before="0"/>
            </w:pPr>
            <w:r>
              <w:rPr>
                <w:rFonts w:ascii="Calibri" w:hAnsi="Calibri"/>
                <w:sz w:val="19"/>
              </w:rPr>
              <w:t>Backend down</w:t>
            </w:r>
          </w:p>
        </w:tc>
        <w:tc>
          <w:tcPr>
            <w:tcW w:type="dxa" w:w="3456"/>
            <w:vAlign w:val="center"/>
            <w:tcMar>
              <w:top w:w="80" w:type="dxa"/>
              <w:start w:w="100" w:type="dxa"/>
              <w:bottom w:w="80" w:type="dxa"/>
              <w:end w:w="100" w:type="dxa"/>
            </w:tcMar>
          </w:tcPr>
          <w:p>
            <w:pPr>
              <w:spacing w:after="20" w:before="0"/>
            </w:pPr>
            <w:r>
              <w:rPr>
                <w:rFonts w:ascii="Calibri" w:hAnsi="Calibri"/>
                <w:sz w:val="19"/>
              </w:rPr>
              <w:t>Streamlit converts locally.</w:t>
            </w:r>
          </w:p>
        </w:tc>
        <w:tc>
          <w:tcPr>
            <w:tcW w:type="dxa" w:w="3744"/>
            <w:vAlign w:val="center"/>
            <w:tcMar>
              <w:top w:w="80" w:type="dxa"/>
              <w:start w:w="100" w:type="dxa"/>
              <w:bottom w:w="80" w:type="dxa"/>
              <w:end w:w="100" w:type="dxa"/>
            </w:tcMar>
          </w:tcPr>
          <w:p>
            <w:pPr>
              <w:spacing w:after="20" w:before="0"/>
            </w:pPr>
            <w:r>
              <w:rPr>
                <w:rFonts w:ascii="Calibri" w:hAnsi="Calibri"/>
                <w:sz w:val="19"/>
              </w:rPr>
              <w:t>The app still works without the backend.</w:t>
            </w:r>
          </w:p>
        </w:tc>
      </w:tr>
      <w:tr>
        <w:tc>
          <w:tcPr>
            <w:tcW w:type="dxa" w:w="2664"/>
            <w:vAlign w:val="center"/>
            <w:tcMar>
              <w:top w:w="80" w:type="dxa"/>
              <w:start w:w="100" w:type="dxa"/>
              <w:bottom w:w="80" w:type="dxa"/>
              <w:end w:w="100" w:type="dxa"/>
            </w:tcMar>
            <w:shd w:fill="F5F8FC"/>
          </w:tcPr>
          <w:p>
            <w:pPr>
              <w:spacing w:after="20" w:before="0"/>
            </w:pPr>
            <w:r>
              <w:rPr>
                <w:rFonts w:ascii="Calibri" w:hAnsi="Calibri"/>
                <w:sz w:val="19"/>
              </w:rPr>
              <w:t>Databricks push</w:t>
            </w:r>
          </w:p>
        </w:tc>
        <w:tc>
          <w:tcPr>
            <w:tcW w:type="dxa" w:w="3456"/>
            <w:vAlign w:val="center"/>
            <w:tcMar>
              <w:top w:w="80" w:type="dxa"/>
              <w:start w:w="100" w:type="dxa"/>
              <w:bottom w:w="80" w:type="dxa"/>
              <w:end w:w="100" w:type="dxa"/>
            </w:tcMar>
            <w:shd w:fill="F5F8FC"/>
          </w:tcPr>
          <w:p>
            <w:pPr>
              <w:spacing w:after="20" w:before="0"/>
            </w:pPr>
            <w:r>
              <w:rPr>
                <w:rFonts w:ascii="Calibri" w:hAnsi="Calibri"/>
                <w:sz w:val="19"/>
              </w:rPr>
              <w:t>The current output is exported to the selected workspace path.</w:t>
            </w:r>
          </w:p>
        </w:tc>
        <w:tc>
          <w:tcPr>
            <w:tcW w:type="dxa" w:w="3744"/>
            <w:vAlign w:val="center"/>
            <w:tcMar>
              <w:top w:w="80" w:type="dxa"/>
              <w:start w:w="100" w:type="dxa"/>
              <w:bottom w:w="80" w:type="dxa"/>
              <w:end w:w="100" w:type="dxa"/>
            </w:tcMar>
            <w:shd w:fill="F5F8FC"/>
          </w:tcPr>
          <w:p>
            <w:pPr>
              <w:spacing w:after="20" w:before="0"/>
            </w:pPr>
            <w:r>
              <w:rPr>
                <w:rFonts w:ascii="Calibri" w:hAnsi="Calibri"/>
                <w:sz w:val="19"/>
              </w:rPr>
              <w:t>Notebook or markdown is imported.</w:t>
            </w:r>
          </w:p>
        </w:tc>
      </w:tr>
    </w:tbl>
    <w:p>
      <w:pPr>
        <w:pStyle w:val="Heading1"/>
        <w:spacing w:after="120" w:before="0"/>
      </w:pPr>
      <w:r>
        <w:rPr>
          <w:rFonts w:ascii="Calibri" w:hAnsi="Calibri"/>
          <w:b w:val="0"/>
          <w:i w:val="0"/>
        </w:rPr>
        <w:t>9. Run Instructions</w:t>
      </w:r>
    </w:p>
    <w:p>
      <w:pPr>
        <w:pStyle w:val="ListBullet"/>
        <w:spacing w:after="40"/>
      </w:pPr>
      <w:r>
        <w:rPr>
          <w:rFonts w:ascii="Calibri" w:hAnsi="Calibri"/>
        </w:rPr>
        <w:t>Install dependencies with python -m pip install -r requirements.txt.</w:t>
      </w:r>
    </w:p>
    <w:p>
      <w:pPr>
        <w:pStyle w:val="ListBullet"/>
        <w:spacing w:after="40"/>
      </w:pPr>
      <w:r>
        <w:rPr>
          <w:rFonts w:ascii="Calibri" w:hAnsi="Calibri"/>
        </w:rPr>
        <w:t>Start the backend with python -m uvicorn talend_converter.api:app --reload.</w:t>
      </w:r>
    </w:p>
    <w:p>
      <w:pPr>
        <w:pStyle w:val="ListBullet"/>
        <w:spacing w:after="40"/>
      </w:pPr>
      <w:r>
        <w:rPr>
          <w:rFonts w:ascii="Calibri" w:hAnsi="Calibri"/>
        </w:rPr>
        <w:t>Start the frontend with streamlit run streamlit_app.py.</w:t>
      </w:r>
    </w:p>
    <w:p>
      <w:pPr>
        <w:pStyle w:val="ListBullet"/>
        <w:spacing w:after="40"/>
      </w:pPr>
      <w:r>
        <w:rPr>
          <w:rFonts w:ascii="Calibri" w:hAnsi="Calibri"/>
        </w:rPr>
        <w:t>Optionally use docker compose up --build to run both services together.</w:t>
      </w:r>
    </w:p>
    <w:p>
      <w:pPr>
        <w:pStyle w:val="Heading1"/>
        <w:spacing w:after="120" w:before="0"/>
      </w:pPr>
      <w:r>
        <w:rPr>
          <w:rFonts w:ascii="Calibri" w:hAnsi="Calibri"/>
          <w:b w:val="0"/>
          <w:i w:val="0"/>
        </w:rPr>
        <w:t>10. Operational Notes</w:t>
      </w:r>
    </w:p>
    <w:p>
      <w:pPr>
        <w:pStyle w:val="ListBullet"/>
        <w:spacing w:after="40"/>
      </w:pPr>
      <w:r>
        <w:rPr>
          <w:rFonts w:ascii="Calibri" w:hAnsi="Calibri"/>
        </w:rPr>
        <w:t>The vault stores values locally on the machine in a JSON file under the user home directory.</w:t>
      </w:r>
    </w:p>
    <w:p>
      <w:pPr>
        <w:pStyle w:val="ListBullet"/>
        <w:spacing w:after="40"/>
      </w:pPr>
      <w:r>
        <w:rPr>
          <w:rFonts w:ascii="Calibri" w:hAnsi="Calibri"/>
        </w:rPr>
        <w:t>Private GitHub repositories require a GitHub token with read access.</w:t>
      </w:r>
    </w:p>
    <w:p>
      <w:pPr>
        <w:pStyle w:val="ListBullet"/>
        <w:spacing w:after="40"/>
      </w:pPr>
      <w:r>
        <w:rPr>
          <w:rFonts w:ascii="Calibri" w:hAnsi="Calibri"/>
        </w:rPr>
        <w:t>Databricks pushes require a valid workspace URL, token, and an existing writable volume path.</w:t>
      </w:r>
    </w:p>
    <w:p>
      <w:pPr>
        <w:pStyle w:val="ListBullet"/>
        <w:spacing w:after="40"/>
      </w:pPr>
      <w:r>
        <w:rPr>
          <w:rFonts w:ascii="Calibri" w:hAnsi="Calibri"/>
        </w:rPr>
        <w:t>The safest shared target is a Unity Catalog volume, not DBFS root.</w:t>
      </w:r>
    </w:p>
    <w:p>
      <w:pPr>
        <w:pStyle w:val="Heading1"/>
        <w:spacing w:after="120" w:before="0"/>
      </w:pPr>
      <w:r>
        <w:rPr>
          <w:rFonts w:ascii="Calibri" w:hAnsi="Calibri"/>
          <w:b w:val="0"/>
          <w:i w:val="0"/>
        </w:rPr>
        <w:t>11. Project Structure</w:t>
      </w:r>
    </w:p>
    <w:p>
      <w:pPr>
        <w:spacing w:after="60"/>
        <w:ind w:left="216"/>
      </w:pPr>
      <w:r>
        <w:rPr>
          <w:rFonts w:ascii="Consolas" w:hAnsi="Consolas"/>
          <w:sz w:val="19"/>
        </w:rPr>
        <w:t>part 1/</w:t>
        <w:br/>
        <w:t xml:space="preserve">  streamlit_app.py</w:t>
        <w:br/>
        <w:t xml:space="preserve">  README.md</w:t>
        <w:br/>
        <w:t xml:space="preserve">  requirements.txt</w:t>
        <w:br/>
        <w:t xml:space="preserve">  Dockerfile</w:t>
        <w:br/>
        <w:t xml:space="preserve">  docker-compose.yml</w:t>
        <w:br/>
        <w:t xml:space="preserve">  .env.example</w:t>
        <w:br/>
        <w:t xml:space="preserve">  talend_converter/</w:t>
        <w:br/>
        <w:t xml:space="preserve">    api.py</w:t>
        <w:br/>
        <w:t xml:space="preserve">    converter.py</w:t>
        <w:br/>
        <w:t xml:space="preserve">    __init__.py</w:t>
      </w:r>
    </w:p>
    <w:p>
      <w:pPr>
        <w:pStyle w:val="Heading1"/>
        <w:spacing w:after="120" w:before="0"/>
      </w:pPr>
      <w:r>
        <w:rPr>
          <w:rFonts w:ascii="Calibri" w:hAnsi="Calibri"/>
          <w:b w:val="0"/>
          <w:i w:val="0"/>
        </w:rPr>
        <w:t>12. Summary</w:t>
      </w:r>
    </w:p>
    <w:p>
      <w:pPr>
        <w:spacing w:after="0" w:before="0"/>
      </w:pPr>
      <w:r>
        <w:rPr>
          <w:rFonts w:ascii="Calibri" w:hAnsi="Calibri"/>
          <w:b w:val="0"/>
          <w:i w:val="0"/>
        </w:rPr>
        <w:t>This project is a full Talend conversion workflow with a Streamlit UI, a FastAPI conversion backend, a shared converter engine, GitHub import support, Databricks publishing, path validation, and a local vault to reduce repeated setup. The architecture is intentionally split so the UI, API, and conversion logic can evolve independently while sharing the same core conversion rules.</w:t>
      </w:r>
    </w:p>
    <w:p>
      <w:r>
        <w:rPr>
          <w:rFonts w:ascii="Calibri" w:hAnsi="Calibri"/>
        </w:rPr>
        <w:br/>
      </w:r>
    </w:p>
    <w:p>
      <w:pPr>
        <w:pStyle w:val="Heading1"/>
      </w:pPr>
      <w:r>
        <w:rPr>
          <w:rFonts w:ascii="Calibri" w:hAnsi="Calibri"/>
        </w:rPr>
        <w:t>13. Configuration Guide</w:t>
      </w:r>
    </w:p>
    <w:p>
      <w:pPr>
        <w:spacing w:after="80"/>
      </w:pPr>
      <w:r>
        <w:rPr>
          <w:rFonts w:ascii="Calibri" w:hAnsi="Calibri"/>
        </w:rPr>
        <w:t>Use this section when you first set up the project or move it to a new machine, workspace, or GitHub repository. Each setting below explains what it does, why it matters, and what value you should provide.</w:t>
      </w:r>
    </w:p>
    <w:p>
      <w:pPr>
        <w:spacing w:after="160"/>
      </w:pPr>
      <w:r>
        <w:rPr>
          <w:rFonts w:ascii="Calibri" w:hAnsi="Calibri"/>
        </w:rPr>
        <w:t>The safest workflow is to fill in the Vault section first, then verify the Databricks volume prefix, and finally test one local upload before switching to GitHub batch conversion or Databricks push.</w:t>
      </w:r>
    </w:p>
    <w:tbl>
      <w:tblPr>
        <w:tblStyle w:val="TableGrid"/>
        <w:tblW w:type="auto" w:w="0"/>
        <w:jc w:val="center"/>
        <w:tblLook w:firstColumn="1" w:firstRow="1" w:lastColumn="0" w:lastRow="0" w:noHBand="0" w:noVBand="1" w:val="04A0"/>
      </w:tblPr>
      <w:tblGrid>
        <w:gridCol w:w="1800"/>
        <w:gridCol w:w="2736"/>
        <w:gridCol w:w="2952"/>
        <w:gridCol w:w="2592"/>
      </w:tblGrid>
      <w:tr>
        <w:tc>
          <w:tcPr>
            <w:tcW w:type="dxa" w:w="2484"/>
            <w:vAlign w:val="center"/>
            <w:tcMar>
              <w:top w:w="80" w:type="dxa"/>
              <w:start w:w="100" w:type="dxa"/>
              <w:bottom w:w="80" w:type="dxa"/>
              <w:end w:w="100" w:type="dxa"/>
            </w:tcMar>
            <w:shd w:fill="1F4E79"/>
          </w:tcPr>
          <w:p>
            <w:pPr>
              <w:spacing w:after="20" w:before="0"/>
              <w:jc w:val="center"/>
            </w:pPr>
            <w:r>
              <w:rPr>
                <w:rFonts w:ascii="Calibri" w:hAnsi="Calibri"/>
                <w:b/>
                <w:color w:val="FFFFFF"/>
                <w:sz w:val="19"/>
              </w:rPr>
              <w:t>Setting</w:t>
            </w:r>
          </w:p>
        </w:tc>
        <w:tc>
          <w:tcPr>
            <w:tcW w:type="dxa" w:w="2484"/>
            <w:vAlign w:val="center"/>
            <w:tcMar>
              <w:top w:w="80" w:type="dxa"/>
              <w:start w:w="100" w:type="dxa"/>
              <w:bottom w:w="80" w:type="dxa"/>
              <w:end w:w="100" w:type="dxa"/>
            </w:tcMar>
            <w:shd w:fill="1F4E79"/>
          </w:tcPr>
          <w:p>
            <w:pPr>
              <w:spacing w:after="20" w:before="0"/>
              <w:jc w:val="center"/>
            </w:pPr>
            <w:r>
              <w:rPr>
                <w:rFonts w:ascii="Calibri" w:hAnsi="Calibri"/>
                <w:b/>
                <w:color w:val="FFFFFF"/>
                <w:sz w:val="19"/>
              </w:rPr>
              <w:t>What it does</w:t>
            </w:r>
          </w:p>
        </w:tc>
        <w:tc>
          <w:tcPr>
            <w:tcW w:type="dxa" w:w="2484"/>
            <w:vAlign w:val="center"/>
            <w:tcMar>
              <w:top w:w="80" w:type="dxa"/>
              <w:start w:w="100" w:type="dxa"/>
              <w:bottom w:w="80" w:type="dxa"/>
              <w:end w:w="100" w:type="dxa"/>
            </w:tcMar>
            <w:shd w:fill="1F4E79"/>
          </w:tcPr>
          <w:p>
            <w:pPr>
              <w:spacing w:after="20" w:before="0"/>
              <w:jc w:val="center"/>
            </w:pPr>
            <w:r>
              <w:rPr>
                <w:rFonts w:ascii="Calibri" w:hAnsi="Calibri"/>
                <w:b/>
                <w:color w:val="FFFFFF"/>
                <w:sz w:val="19"/>
              </w:rPr>
              <w:t>Why it matters</w:t>
            </w:r>
          </w:p>
        </w:tc>
        <w:tc>
          <w:tcPr>
            <w:tcW w:type="dxa" w:w="2484"/>
            <w:vAlign w:val="center"/>
            <w:tcMar>
              <w:top w:w="80" w:type="dxa"/>
              <w:start w:w="100" w:type="dxa"/>
              <w:bottom w:w="80" w:type="dxa"/>
              <w:end w:w="100" w:type="dxa"/>
            </w:tcMar>
            <w:shd w:fill="1F4E79"/>
          </w:tcPr>
          <w:p>
            <w:pPr>
              <w:spacing w:after="20" w:before="0"/>
              <w:jc w:val="center"/>
            </w:pPr>
            <w:r>
              <w:rPr>
                <w:rFonts w:ascii="Calibri" w:hAnsi="Calibri"/>
                <w:b/>
                <w:color w:val="FFFFFF"/>
                <w:sz w:val="19"/>
              </w:rPr>
              <w:t>What to enter</w:t>
            </w:r>
          </w:p>
        </w:tc>
      </w:tr>
      <w:tr>
        <w:tc>
          <w:tcPr>
            <w:tcW w:type="dxa" w:w="1800"/>
            <w:vAlign w:val="center"/>
            <w:tcMar>
              <w:top w:w="80" w:type="dxa"/>
              <w:start w:w="100" w:type="dxa"/>
              <w:bottom w:w="80" w:type="dxa"/>
              <w:end w:w="100" w:type="dxa"/>
            </w:tcMar>
            <w:shd w:fill="F5F8FC"/>
          </w:tcPr>
          <w:p>
            <w:pPr>
              <w:spacing w:after="20" w:before="0"/>
            </w:pPr>
            <w:r>
              <w:rPr>
                <w:rFonts w:ascii="Calibri" w:hAnsi="Calibri"/>
                <w:sz w:val="19"/>
              </w:rPr>
              <w:t>Groq API key</w:t>
            </w:r>
          </w:p>
        </w:tc>
        <w:tc>
          <w:tcPr>
            <w:tcW w:type="dxa" w:w="2736"/>
            <w:vAlign w:val="center"/>
            <w:tcMar>
              <w:top w:w="80" w:type="dxa"/>
              <w:start w:w="100" w:type="dxa"/>
              <w:bottom w:w="80" w:type="dxa"/>
              <w:end w:w="100" w:type="dxa"/>
            </w:tcMar>
            <w:shd w:fill="F5F8FC"/>
          </w:tcPr>
          <w:p>
            <w:pPr>
              <w:spacing w:after="20" w:before="0"/>
            </w:pPr>
            <w:r>
              <w:rPr>
                <w:rFonts w:ascii="Calibri" w:hAnsi="Calibri"/>
                <w:sz w:val="19"/>
              </w:rPr>
              <w:t>Enables AI-powered PySpark generation.</w:t>
            </w:r>
          </w:p>
        </w:tc>
        <w:tc>
          <w:tcPr>
            <w:tcW w:type="dxa" w:w="2952"/>
            <w:vAlign w:val="center"/>
            <w:tcMar>
              <w:top w:w="80" w:type="dxa"/>
              <w:start w:w="100" w:type="dxa"/>
              <w:bottom w:w="80" w:type="dxa"/>
              <w:end w:w="100" w:type="dxa"/>
            </w:tcMar>
            <w:shd w:fill="F5F8FC"/>
          </w:tcPr>
          <w:p>
            <w:pPr>
              <w:spacing w:after="20" w:before="0"/>
            </w:pPr>
            <w:r>
              <w:rPr>
                <w:rFonts w:ascii="Calibri" w:hAnsi="Calibri"/>
                <w:sz w:val="19"/>
              </w:rPr>
              <w:t>Needed if you want the model to generate richer conversion code instead of the local scaffold.</w:t>
            </w:r>
          </w:p>
        </w:tc>
        <w:tc>
          <w:tcPr>
            <w:tcW w:type="dxa" w:w="2592"/>
            <w:vAlign w:val="center"/>
            <w:tcMar>
              <w:top w:w="80" w:type="dxa"/>
              <w:start w:w="100" w:type="dxa"/>
              <w:bottom w:w="80" w:type="dxa"/>
              <w:end w:w="100" w:type="dxa"/>
            </w:tcMar>
            <w:shd w:fill="F5F8FC"/>
          </w:tcPr>
          <w:p>
            <w:pPr>
              <w:spacing w:after="20" w:before="0"/>
            </w:pPr>
            <w:r>
              <w:rPr>
                <w:rFonts w:ascii="Calibri" w:hAnsi="Calibri"/>
                <w:sz w:val="19"/>
              </w:rPr>
              <w:t>Your valid Groq key.</w:t>
            </w:r>
          </w:p>
        </w:tc>
      </w:tr>
      <w:tr>
        <w:tc>
          <w:tcPr>
            <w:tcW w:type="dxa" w:w="1800"/>
            <w:vAlign w:val="center"/>
            <w:tcMar>
              <w:top w:w="80" w:type="dxa"/>
              <w:start w:w="100" w:type="dxa"/>
              <w:bottom w:w="80" w:type="dxa"/>
              <w:end w:w="100" w:type="dxa"/>
            </w:tcMar>
          </w:tcPr>
          <w:p>
            <w:pPr>
              <w:spacing w:after="20" w:before="0"/>
            </w:pPr>
            <w:r>
              <w:rPr>
                <w:rFonts w:ascii="Calibri" w:hAnsi="Calibri"/>
                <w:sz w:val="19"/>
              </w:rPr>
              <w:t>Groq model</w:t>
            </w:r>
          </w:p>
        </w:tc>
        <w:tc>
          <w:tcPr>
            <w:tcW w:type="dxa" w:w="2736"/>
            <w:vAlign w:val="center"/>
            <w:tcMar>
              <w:top w:w="80" w:type="dxa"/>
              <w:start w:w="100" w:type="dxa"/>
              <w:bottom w:w="80" w:type="dxa"/>
              <w:end w:w="100" w:type="dxa"/>
            </w:tcMar>
          </w:tcPr>
          <w:p>
            <w:pPr>
              <w:spacing w:after="20" w:before="0"/>
            </w:pPr>
            <w:r>
              <w:rPr>
                <w:rFonts w:ascii="Calibri" w:hAnsi="Calibri"/>
                <w:sz w:val="19"/>
              </w:rPr>
              <w:t>Selects which Groq model generates the code.</w:t>
            </w:r>
          </w:p>
        </w:tc>
        <w:tc>
          <w:tcPr>
            <w:tcW w:type="dxa" w:w="2952"/>
            <w:vAlign w:val="center"/>
            <w:tcMar>
              <w:top w:w="80" w:type="dxa"/>
              <w:start w:w="100" w:type="dxa"/>
              <w:bottom w:w="80" w:type="dxa"/>
              <w:end w:w="100" w:type="dxa"/>
            </w:tcMar>
          </w:tcPr>
          <w:p>
            <w:pPr>
              <w:spacing w:after="20" w:before="0"/>
            </w:pPr>
            <w:r>
              <w:rPr>
                <w:rFonts w:ascii="Calibri" w:hAnsi="Calibri"/>
                <w:sz w:val="19"/>
              </w:rPr>
              <w:t>Keeps output consistent across runs and lets you switch models if needed.</w:t>
            </w:r>
          </w:p>
        </w:tc>
        <w:tc>
          <w:tcPr>
            <w:tcW w:type="dxa" w:w="2592"/>
            <w:vAlign w:val="center"/>
            <w:tcMar>
              <w:top w:w="80" w:type="dxa"/>
              <w:start w:w="100" w:type="dxa"/>
              <w:bottom w:w="80" w:type="dxa"/>
              <w:end w:w="100" w:type="dxa"/>
            </w:tcMar>
          </w:tcPr>
          <w:p>
            <w:pPr>
              <w:spacing w:after="20" w:before="0"/>
            </w:pPr>
            <w:r>
              <w:rPr>
                <w:rFonts w:ascii="Calibri" w:hAnsi="Calibri"/>
                <w:sz w:val="19"/>
              </w:rPr>
              <w:t>For example: openai/gpt-oss-20b.</w:t>
            </w:r>
          </w:p>
        </w:tc>
      </w:tr>
      <w:tr>
        <w:tc>
          <w:tcPr>
            <w:tcW w:type="dxa" w:w="1800"/>
            <w:vAlign w:val="center"/>
            <w:tcMar>
              <w:top w:w="80" w:type="dxa"/>
              <w:start w:w="100" w:type="dxa"/>
              <w:bottom w:w="80" w:type="dxa"/>
              <w:end w:w="100" w:type="dxa"/>
            </w:tcMar>
            <w:shd w:fill="F5F8FC"/>
          </w:tcPr>
          <w:p>
            <w:pPr>
              <w:spacing w:after="20" w:before="0"/>
            </w:pPr>
            <w:r>
              <w:rPr>
                <w:rFonts w:ascii="Calibri" w:hAnsi="Calibri"/>
                <w:sz w:val="19"/>
              </w:rPr>
              <w:t>GitHub profile URL</w:t>
            </w:r>
          </w:p>
        </w:tc>
        <w:tc>
          <w:tcPr>
            <w:tcW w:type="dxa" w:w="2736"/>
            <w:vAlign w:val="center"/>
            <w:tcMar>
              <w:top w:w="80" w:type="dxa"/>
              <w:start w:w="100" w:type="dxa"/>
              <w:bottom w:w="80" w:type="dxa"/>
              <w:end w:w="100" w:type="dxa"/>
            </w:tcMar>
            <w:shd w:fill="F5F8FC"/>
          </w:tcPr>
          <w:p>
            <w:pPr>
              <w:spacing w:after="20" w:before="0"/>
            </w:pPr>
            <w:r>
              <w:rPr>
                <w:rFonts w:ascii="Calibri" w:hAnsi="Calibri"/>
                <w:sz w:val="19"/>
              </w:rPr>
              <w:t>Starts the repo -&gt; branch -&gt; job browser.</w:t>
            </w:r>
          </w:p>
        </w:tc>
        <w:tc>
          <w:tcPr>
            <w:tcW w:type="dxa" w:w="2952"/>
            <w:vAlign w:val="center"/>
            <w:tcMar>
              <w:top w:w="80" w:type="dxa"/>
              <w:start w:w="100" w:type="dxa"/>
              <w:bottom w:w="80" w:type="dxa"/>
              <w:end w:w="100" w:type="dxa"/>
            </w:tcMar>
            <w:shd w:fill="F5F8FC"/>
          </w:tcPr>
          <w:p>
            <w:pPr>
              <w:spacing w:after="20" w:before="0"/>
            </w:pPr>
            <w:r>
              <w:rPr>
                <w:rFonts w:ascii="Calibri" w:hAnsi="Calibri"/>
                <w:sz w:val="19"/>
              </w:rPr>
              <w:t>Lets the app discover repositories instead of requiring raw file URLs.</w:t>
            </w:r>
          </w:p>
        </w:tc>
        <w:tc>
          <w:tcPr>
            <w:tcW w:type="dxa" w:w="2592"/>
            <w:vAlign w:val="center"/>
            <w:tcMar>
              <w:top w:w="80" w:type="dxa"/>
              <w:start w:w="100" w:type="dxa"/>
              <w:bottom w:w="80" w:type="dxa"/>
              <w:end w:w="100" w:type="dxa"/>
            </w:tcMar>
            <w:shd w:fill="F5F8FC"/>
          </w:tcPr>
          <w:p>
            <w:pPr>
              <w:spacing w:after="20" w:before="0"/>
            </w:pPr>
            <w:r>
              <w:rPr>
                <w:rFonts w:ascii="Calibri" w:hAnsi="Calibri"/>
                <w:sz w:val="19"/>
              </w:rPr>
              <w:t>A URL like https://github.com/&lt;username&gt;.</w:t>
            </w:r>
          </w:p>
        </w:tc>
      </w:tr>
      <w:tr>
        <w:tc>
          <w:tcPr>
            <w:tcW w:type="dxa" w:w="1800"/>
            <w:vAlign w:val="center"/>
            <w:tcMar>
              <w:top w:w="80" w:type="dxa"/>
              <w:start w:w="100" w:type="dxa"/>
              <w:bottom w:w="80" w:type="dxa"/>
              <w:end w:w="100" w:type="dxa"/>
            </w:tcMar>
          </w:tcPr>
          <w:p>
            <w:pPr>
              <w:spacing w:after="20" w:before="0"/>
            </w:pPr>
            <w:r>
              <w:rPr>
                <w:rFonts w:ascii="Calibri" w:hAnsi="Calibri"/>
                <w:sz w:val="19"/>
              </w:rPr>
              <w:t>GitHub token</w:t>
            </w:r>
          </w:p>
        </w:tc>
        <w:tc>
          <w:tcPr>
            <w:tcW w:type="dxa" w:w="2736"/>
            <w:vAlign w:val="center"/>
            <w:tcMar>
              <w:top w:w="80" w:type="dxa"/>
              <w:start w:w="100" w:type="dxa"/>
              <w:bottom w:w="80" w:type="dxa"/>
              <w:end w:w="100" w:type="dxa"/>
            </w:tcMar>
          </w:tcPr>
          <w:p>
            <w:pPr>
              <w:spacing w:after="20" w:before="0"/>
            </w:pPr>
            <w:r>
              <w:rPr>
                <w:rFonts w:ascii="Calibri" w:hAnsi="Calibri"/>
                <w:sz w:val="19"/>
              </w:rPr>
              <w:t>Authorizes private repo reads.</w:t>
            </w:r>
          </w:p>
        </w:tc>
        <w:tc>
          <w:tcPr>
            <w:tcW w:type="dxa" w:w="2952"/>
            <w:vAlign w:val="center"/>
            <w:tcMar>
              <w:top w:w="80" w:type="dxa"/>
              <w:start w:w="100" w:type="dxa"/>
              <w:bottom w:w="80" w:type="dxa"/>
              <w:end w:w="100" w:type="dxa"/>
            </w:tcMar>
          </w:tcPr>
          <w:p>
            <w:pPr>
              <w:spacing w:after="20" w:before="0"/>
            </w:pPr>
            <w:r>
              <w:rPr>
                <w:rFonts w:ascii="Calibri" w:hAnsi="Calibri"/>
                <w:sz w:val="19"/>
              </w:rPr>
              <w:t>Required only when the repository is private or rate limits are hit.</w:t>
            </w:r>
          </w:p>
        </w:tc>
        <w:tc>
          <w:tcPr>
            <w:tcW w:type="dxa" w:w="2592"/>
            <w:vAlign w:val="center"/>
            <w:tcMar>
              <w:top w:w="80" w:type="dxa"/>
              <w:start w:w="100" w:type="dxa"/>
              <w:bottom w:w="80" w:type="dxa"/>
              <w:end w:w="100" w:type="dxa"/>
            </w:tcMar>
          </w:tcPr>
          <w:p>
            <w:pPr>
              <w:spacing w:after="20" w:before="0"/>
            </w:pPr>
            <w:r>
              <w:rPr>
                <w:rFonts w:ascii="Calibri" w:hAnsi="Calibri"/>
                <w:sz w:val="19"/>
              </w:rPr>
              <w:t>A GitHub personal access token with read access.</w:t>
            </w:r>
          </w:p>
        </w:tc>
      </w:tr>
      <w:tr>
        <w:tc>
          <w:tcPr>
            <w:tcW w:type="dxa" w:w="1800"/>
            <w:vAlign w:val="center"/>
            <w:tcMar>
              <w:top w:w="80" w:type="dxa"/>
              <w:start w:w="100" w:type="dxa"/>
              <w:bottom w:w="80" w:type="dxa"/>
              <w:end w:w="100" w:type="dxa"/>
            </w:tcMar>
            <w:shd w:fill="F5F8FC"/>
          </w:tcPr>
          <w:p>
            <w:pPr>
              <w:spacing w:after="20" w:before="0"/>
            </w:pPr>
            <w:r>
              <w:rPr>
                <w:rFonts w:ascii="Calibri" w:hAnsi="Calibri"/>
                <w:sz w:val="19"/>
              </w:rPr>
              <w:t>Databricks workspace URL</w:t>
            </w:r>
          </w:p>
        </w:tc>
        <w:tc>
          <w:tcPr>
            <w:tcW w:type="dxa" w:w="2736"/>
            <w:vAlign w:val="center"/>
            <w:tcMar>
              <w:top w:w="80" w:type="dxa"/>
              <w:start w:w="100" w:type="dxa"/>
              <w:bottom w:w="80" w:type="dxa"/>
              <w:end w:w="100" w:type="dxa"/>
            </w:tcMar>
            <w:shd w:fill="F5F8FC"/>
          </w:tcPr>
          <w:p>
            <w:pPr>
              <w:spacing w:after="20" w:before="0"/>
            </w:pPr>
            <w:r>
              <w:rPr>
                <w:rFonts w:ascii="Calibri" w:hAnsi="Calibri"/>
                <w:sz w:val="19"/>
              </w:rPr>
              <w:t>Points the app at your Databricks workspace.</w:t>
            </w:r>
          </w:p>
        </w:tc>
        <w:tc>
          <w:tcPr>
            <w:tcW w:type="dxa" w:w="2952"/>
            <w:vAlign w:val="center"/>
            <w:tcMar>
              <w:top w:w="80" w:type="dxa"/>
              <w:start w:w="100" w:type="dxa"/>
              <w:bottom w:w="80" w:type="dxa"/>
              <w:end w:w="100" w:type="dxa"/>
            </w:tcMar>
            <w:shd w:fill="F5F8FC"/>
          </w:tcPr>
          <w:p>
            <w:pPr>
              <w:spacing w:after="20" w:before="0"/>
            </w:pPr>
            <w:r>
              <w:rPr>
                <w:rFonts w:ascii="Calibri" w:hAnsi="Calibri"/>
                <w:sz w:val="19"/>
              </w:rPr>
              <w:t>Needed so the app can load folders and push generated notebooks.</w:t>
            </w:r>
          </w:p>
        </w:tc>
        <w:tc>
          <w:tcPr>
            <w:tcW w:type="dxa" w:w="2592"/>
            <w:vAlign w:val="center"/>
            <w:tcMar>
              <w:top w:w="80" w:type="dxa"/>
              <w:start w:w="100" w:type="dxa"/>
              <w:bottom w:w="80" w:type="dxa"/>
              <w:end w:w="100" w:type="dxa"/>
            </w:tcMar>
            <w:shd w:fill="F5F8FC"/>
          </w:tcPr>
          <w:p>
            <w:pPr>
              <w:spacing w:after="20" w:before="0"/>
            </w:pPr>
            <w:r>
              <w:rPr>
                <w:rFonts w:ascii="Calibri" w:hAnsi="Calibri"/>
                <w:sz w:val="19"/>
              </w:rPr>
              <w:t>The base workspace URL, not a notebook editor URL.</w:t>
            </w:r>
          </w:p>
        </w:tc>
      </w:tr>
      <w:tr>
        <w:tc>
          <w:tcPr>
            <w:tcW w:type="dxa" w:w="1800"/>
            <w:vAlign w:val="center"/>
            <w:tcMar>
              <w:top w:w="80" w:type="dxa"/>
              <w:start w:w="100" w:type="dxa"/>
              <w:bottom w:w="80" w:type="dxa"/>
              <w:end w:w="100" w:type="dxa"/>
            </w:tcMar>
          </w:tcPr>
          <w:p>
            <w:pPr>
              <w:spacing w:after="20" w:before="0"/>
            </w:pPr>
            <w:r>
              <w:rPr>
                <w:rFonts w:ascii="Calibri" w:hAnsi="Calibri"/>
                <w:sz w:val="19"/>
              </w:rPr>
              <w:t>Databricks token</w:t>
            </w:r>
          </w:p>
        </w:tc>
        <w:tc>
          <w:tcPr>
            <w:tcW w:type="dxa" w:w="2736"/>
            <w:vAlign w:val="center"/>
            <w:tcMar>
              <w:top w:w="80" w:type="dxa"/>
              <w:start w:w="100" w:type="dxa"/>
              <w:bottom w:w="80" w:type="dxa"/>
              <w:end w:w="100" w:type="dxa"/>
            </w:tcMar>
          </w:tcPr>
          <w:p>
            <w:pPr>
              <w:spacing w:after="20" w:before="0"/>
            </w:pPr>
            <w:r>
              <w:rPr>
                <w:rFonts w:ascii="Calibri" w:hAnsi="Calibri"/>
                <w:sz w:val="19"/>
              </w:rPr>
              <w:t>Authenticates workspace import requests.</w:t>
            </w:r>
          </w:p>
        </w:tc>
        <w:tc>
          <w:tcPr>
            <w:tcW w:type="dxa" w:w="2952"/>
            <w:vAlign w:val="center"/>
            <w:tcMar>
              <w:top w:w="80" w:type="dxa"/>
              <w:start w:w="100" w:type="dxa"/>
              <w:bottom w:w="80" w:type="dxa"/>
              <w:end w:w="100" w:type="dxa"/>
            </w:tcMar>
          </w:tcPr>
          <w:p>
            <w:pPr>
              <w:spacing w:after="20" w:before="0"/>
            </w:pPr>
            <w:r>
              <w:rPr>
                <w:rFonts w:ascii="Calibri" w:hAnsi="Calibri"/>
                <w:sz w:val="19"/>
              </w:rPr>
              <w:t>Required to browse the workspace tree and import the converted file.</w:t>
            </w:r>
          </w:p>
        </w:tc>
        <w:tc>
          <w:tcPr>
            <w:tcW w:type="dxa" w:w="2592"/>
            <w:vAlign w:val="center"/>
            <w:tcMar>
              <w:top w:w="80" w:type="dxa"/>
              <w:start w:w="100" w:type="dxa"/>
              <w:bottom w:w="80" w:type="dxa"/>
              <w:end w:w="100" w:type="dxa"/>
            </w:tcMar>
          </w:tcPr>
          <w:p>
            <w:pPr>
              <w:spacing w:after="20" w:before="0"/>
            </w:pPr>
            <w:r>
              <w:rPr>
                <w:rFonts w:ascii="Calibri" w:hAnsi="Calibri"/>
                <w:sz w:val="19"/>
              </w:rPr>
              <w:t>A personal access token for the same workspace.</w:t>
            </w:r>
          </w:p>
        </w:tc>
      </w:tr>
      <w:tr>
        <w:tc>
          <w:tcPr>
            <w:tcW w:type="dxa" w:w="1800"/>
            <w:vAlign w:val="center"/>
            <w:tcMar>
              <w:top w:w="80" w:type="dxa"/>
              <w:start w:w="100" w:type="dxa"/>
              <w:bottom w:w="80" w:type="dxa"/>
              <w:end w:w="100" w:type="dxa"/>
            </w:tcMar>
            <w:shd w:fill="F5F8FC"/>
          </w:tcPr>
          <w:p>
            <w:pPr>
              <w:spacing w:after="20" w:before="0"/>
            </w:pPr>
            <w:r>
              <w:rPr>
                <w:rFonts w:ascii="Calibri" w:hAnsi="Calibri"/>
                <w:sz w:val="19"/>
              </w:rPr>
              <w:t>Databricks volume prefix</w:t>
            </w:r>
          </w:p>
        </w:tc>
        <w:tc>
          <w:tcPr>
            <w:tcW w:type="dxa" w:w="2736"/>
            <w:vAlign w:val="center"/>
            <w:tcMar>
              <w:top w:w="80" w:type="dxa"/>
              <w:start w:w="100" w:type="dxa"/>
              <w:bottom w:w="80" w:type="dxa"/>
              <w:end w:w="100" w:type="dxa"/>
            </w:tcMar>
            <w:shd w:fill="F5F8FC"/>
          </w:tcPr>
          <w:p>
            <w:pPr>
              <w:spacing w:after="20" w:before="0"/>
            </w:pPr>
            <w:r>
              <w:rPr>
                <w:rFonts w:ascii="Calibri" w:hAnsi="Calibri"/>
                <w:sz w:val="19"/>
              </w:rPr>
              <w:t>Defines the exact writable path for rewritten file outputs.</w:t>
            </w:r>
          </w:p>
        </w:tc>
        <w:tc>
          <w:tcPr>
            <w:tcW w:type="dxa" w:w="2952"/>
            <w:vAlign w:val="center"/>
            <w:tcMar>
              <w:top w:w="80" w:type="dxa"/>
              <w:start w:w="100" w:type="dxa"/>
              <w:bottom w:w="80" w:type="dxa"/>
              <w:end w:w="100" w:type="dxa"/>
            </w:tcMar>
            <w:shd w:fill="F5F8FC"/>
          </w:tcPr>
          <w:p>
            <w:pPr>
              <w:spacing w:after="20" w:before="0"/>
            </w:pPr>
            <w:r>
              <w:rPr>
                <w:rFonts w:ascii="Calibri" w:hAnsi="Calibri"/>
                <w:sz w:val="19"/>
              </w:rPr>
              <w:t>Prevents DBFS and Windows-path errors by targeting a real Unity Catalog volume.</w:t>
            </w:r>
          </w:p>
        </w:tc>
        <w:tc>
          <w:tcPr>
            <w:tcW w:type="dxa" w:w="2592"/>
            <w:vAlign w:val="center"/>
            <w:tcMar>
              <w:top w:w="80" w:type="dxa"/>
              <w:start w:w="100" w:type="dxa"/>
              <w:bottom w:w="80" w:type="dxa"/>
              <w:end w:w="100" w:type="dxa"/>
            </w:tcMar>
            <w:shd w:fill="F5F8FC"/>
          </w:tcPr>
          <w:p>
            <w:pPr>
              <w:spacing w:after="20" w:before="0"/>
            </w:pPr>
            <w:r>
              <w:rPr>
                <w:rFonts w:ascii="Calibri" w:hAnsi="Calibri"/>
                <w:sz w:val="19"/>
              </w:rPr>
              <w:t>For example: /Volumes/main/default/my_volume.</w:t>
            </w:r>
          </w:p>
        </w:tc>
      </w:tr>
      <w:tr>
        <w:tc>
          <w:tcPr>
            <w:tcW w:type="dxa" w:w="1800"/>
            <w:vAlign w:val="center"/>
            <w:tcMar>
              <w:top w:w="80" w:type="dxa"/>
              <w:start w:w="100" w:type="dxa"/>
              <w:bottom w:w="80" w:type="dxa"/>
              <w:end w:w="100" w:type="dxa"/>
            </w:tcMar>
          </w:tcPr>
          <w:p>
            <w:pPr>
              <w:spacing w:after="20" w:before="0"/>
            </w:pPr>
            <w:r>
              <w:rPr>
                <w:rFonts w:ascii="Calibri" w:hAnsi="Calibri"/>
                <w:sz w:val="19"/>
              </w:rPr>
              <w:t>Databricks root path</w:t>
            </w:r>
          </w:p>
        </w:tc>
        <w:tc>
          <w:tcPr>
            <w:tcW w:type="dxa" w:w="2736"/>
            <w:vAlign w:val="center"/>
            <w:tcMar>
              <w:top w:w="80" w:type="dxa"/>
              <w:start w:w="100" w:type="dxa"/>
              <w:bottom w:w="80" w:type="dxa"/>
              <w:end w:w="100" w:type="dxa"/>
            </w:tcMar>
          </w:tcPr>
          <w:p>
            <w:pPr>
              <w:spacing w:after="20" w:before="0"/>
            </w:pPr>
            <w:r>
              <w:rPr>
                <w:rFonts w:ascii="Calibri" w:hAnsi="Calibri"/>
                <w:sz w:val="19"/>
              </w:rPr>
              <w:t>Controls where workspace browsing starts.</w:t>
            </w:r>
          </w:p>
        </w:tc>
        <w:tc>
          <w:tcPr>
            <w:tcW w:type="dxa" w:w="2952"/>
            <w:vAlign w:val="center"/>
            <w:tcMar>
              <w:top w:w="80" w:type="dxa"/>
              <w:start w:w="100" w:type="dxa"/>
              <w:bottom w:w="80" w:type="dxa"/>
              <w:end w:w="100" w:type="dxa"/>
            </w:tcMar>
          </w:tcPr>
          <w:p>
            <w:pPr>
              <w:spacing w:after="20" w:before="0"/>
            </w:pPr>
            <w:r>
              <w:rPr>
                <w:rFonts w:ascii="Calibri" w:hAnsi="Calibri"/>
                <w:sz w:val="19"/>
              </w:rPr>
              <w:t>Helps the folder and notebook dropdowns load the right branch of the workspace tree.</w:t>
            </w:r>
          </w:p>
        </w:tc>
        <w:tc>
          <w:tcPr>
            <w:tcW w:type="dxa" w:w="2592"/>
            <w:vAlign w:val="center"/>
            <w:tcMar>
              <w:top w:w="80" w:type="dxa"/>
              <w:start w:w="100" w:type="dxa"/>
              <w:bottom w:w="80" w:type="dxa"/>
              <w:end w:w="100" w:type="dxa"/>
            </w:tcMar>
          </w:tcPr>
          <w:p>
            <w:pPr>
              <w:spacing w:after="20" w:before="0"/>
            </w:pPr>
            <w:r>
              <w:rPr>
                <w:rFonts w:ascii="Calibri" w:hAnsi="Calibri"/>
                <w:sz w:val="19"/>
              </w:rPr>
              <w:t>Usually /Users or a specific workspace folder.</w:t>
            </w:r>
          </w:p>
        </w:tc>
      </w:tr>
      <w:tr>
        <w:tc>
          <w:tcPr>
            <w:tcW w:type="dxa" w:w="1800"/>
            <w:vAlign w:val="center"/>
            <w:tcMar>
              <w:top w:w="80" w:type="dxa"/>
              <w:start w:w="100" w:type="dxa"/>
              <w:bottom w:w="80" w:type="dxa"/>
              <w:end w:w="100" w:type="dxa"/>
            </w:tcMar>
            <w:shd w:fill="F5F8FC"/>
          </w:tcPr>
          <w:p>
            <w:pPr>
              <w:spacing w:after="20" w:before="0"/>
            </w:pPr>
            <w:r>
              <w:rPr>
                <w:rFonts w:ascii="Calibri" w:hAnsi="Calibri"/>
                <w:sz w:val="19"/>
              </w:rPr>
              <w:t>Databricks target path</w:t>
            </w:r>
          </w:p>
        </w:tc>
        <w:tc>
          <w:tcPr>
            <w:tcW w:type="dxa" w:w="2736"/>
            <w:vAlign w:val="center"/>
            <w:tcMar>
              <w:top w:w="80" w:type="dxa"/>
              <w:start w:w="100" w:type="dxa"/>
              <w:bottom w:w="80" w:type="dxa"/>
              <w:end w:w="100" w:type="dxa"/>
            </w:tcMar>
            <w:shd w:fill="F5F8FC"/>
          </w:tcPr>
          <w:p>
            <w:pPr>
              <w:spacing w:after="20" w:before="0"/>
            </w:pPr>
            <w:r>
              <w:rPr>
                <w:rFonts w:ascii="Calibri" w:hAnsi="Calibri"/>
                <w:sz w:val="19"/>
              </w:rPr>
              <w:t>Default import destination if you do not browse a tree.</w:t>
            </w:r>
          </w:p>
        </w:tc>
        <w:tc>
          <w:tcPr>
            <w:tcW w:type="dxa" w:w="2952"/>
            <w:vAlign w:val="center"/>
            <w:tcMar>
              <w:top w:w="80" w:type="dxa"/>
              <w:start w:w="100" w:type="dxa"/>
              <w:bottom w:w="80" w:type="dxa"/>
              <w:end w:w="100" w:type="dxa"/>
            </w:tcMar>
            <w:shd w:fill="F5F8FC"/>
          </w:tcPr>
          <w:p>
            <w:pPr>
              <w:spacing w:after="20" w:before="0"/>
            </w:pPr>
            <w:r>
              <w:rPr>
                <w:rFonts w:ascii="Calibri" w:hAnsi="Calibri"/>
                <w:sz w:val="19"/>
              </w:rPr>
              <w:t>Gives the app a direct path to push a file into Databricks.</w:t>
            </w:r>
          </w:p>
        </w:tc>
        <w:tc>
          <w:tcPr>
            <w:tcW w:type="dxa" w:w="2592"/>
            <w:vAlign w:val="center"/>
            <w:tcMar>
              <w:top w:w="80" w:type="dxa"/>
              <w:start w:w="100" w:type="dxa"/>
              <w:bottom w:w="80" w:type="dxa"/>
              <w:end w:w="100" w:type="dxa"/>
            </w:tcMar>
            <w:shd w:fill="F5F8FC"/>
          </w:tcPr>
          <w:p>
            <w:pPr>
              <w:spacing w:after="20" w:before="0"/>
            </w:pPr>
            <w:r>
              <w:rPr>
                <w:rFonts w:ascii="Calibri" w:hAnsi="Calibri"/>
                <w:sz w:val="19"/>
              </w:rPr>
              <w:t>A folder or notebook path that your token can write to.</w:t>
            </w:r>
          </w:p>
        </w:tc>
      </w:tr>
      <w:tr>
        <w:tc>
          <w:tcPr>
            <w:tcW w:type="dxa" w:w="1800"/>
            <w:vAlign w:val="center"/>
            <w:tcMar>
              <w:top w:w="80" w:type="dxa"/>
              <w:start w:w="100" w:type="dxa"/>
              <w:bottom w:w="80" w:type="dxa"/>
              <w:end w:w="100" w:type="dxa"/>
            </w:tcMar>
          </w:tcPr>
          <w:p>
            <w:pPr>
              <w:spacing w:after="20" w:before="0"/>
            </w:pPr>
            <w:r>
              <w:rPr>
                <w:rFonts w:ascii="Calibri" w:hAnsi="Calibri"/>
                <w:sz w:val="19"/>
              </w:rPr>
              <w:t>Backend URL</w:t>
            </w:r>
          </w:p>
        </w:tc>
        <w:tc>
          <w:tcPr>
            <w:tcW w:type="dxa" w:w="2736"/>
            <w:vAlign w:val="center"/>
            <w:tcMar>
              <w:top w:w="80" w:type="dxa"/>
              <w:start w:w="100" w:type="dxa"/>
              <w:bottom w:w="80" w:type="dxa"/>
              <w:end w:w="100" w:type="dxa"/>
            </w:tcMar>
          </w:tcPr>
          <w:p>
            <w:pPr>
              <w:spacing w:after="20" w:before="0"/>
            </w:pPr>
            <w:r>
              <w:rPr>
                <w:rFonts w:ascii="Calibri" w:hAnsi="Calibri"/>
                <w:sz w:val="19"/>
              </w:rPr>
              <w:t>Tells Streamlit where the FastAPI converter is running.</w:t>
            </w:r>
          </w:p>
        </w:tc>
        <w:tc>
          <w:tcPr>
            <w:tcW w:type="dxa" w:w="2952"/>
            <w:vAlign w:val="center"/>
            <w:tcMar>
              <w:top w:w="80" w:type="dxa"/>
              <w:start w:w="100" w:type="dxa"/>
              <w:bottom w:w="80" w:type="dxa"/>
              <w:end w:w="100" w:type="dxa"/>
            </w:tcMar>
          </w:tcPr>
          <w:p>
            <w:pPr>
              <w:spacing w:after="20" w:before="0"/>
            </w:pPr>
            <w:r>
              <w:rPr>
                <w:rFonts w:ascii="Calibri" w:hAnsi="Calibri"/>
                <w:sz w:val="19"/>
              </w:rPr>
              <w:t>Lets the UI try backend conversion first before falling back locally.</w:t>
            </w:r>
          </w:p>
        </w:tc>
        <w:tc>
          <w:tcPr>
            <w:tcW w:type="dxa" w:w="2592"/>
            <w:vAlign w:val="center"/>
            <w:tcMar>
              <w:top w:w="80" w:type="dxa"/>
              <w:start w:w="100" w:type="dxa"/>
              <w:bottom w:w="80" w:type="dxa"/>
              <w:end w:w="100" w:type="dxa"/>
            </w:tcMar>
          </w:tcPr>
          <w:p>
            <w:pPr>
              <w:spacing w:after="20" w:before="0"/>
            </w:pPr>
            <w:r>
              <w:rPr>
                <w:rFonts w:ascii="Calibri" w:hAnsi="Calibri"/>
                <w:sz w:val="19"/>
              </w:rPr>
              <w:t>Usually http://localhost:8000/convert.</w:t>
            </w:r>
          </w:p>
        </w:tc>
      </w:tr>
    </w:tbl>
    <w:p>
      <w:pPr>
        <w:spacing w:before="160"/>
      </w:pPr>
      <w:r>
        <w:rPr>
          <w:rFonts w:ascii="Calibri" w:hAnsi="Calibri"/>
          <w:b/>
        </w:rPr>
        <w:t xml:space="preserve">Helpful tips: </w:t>
      </w:r>
      <w:r>
        <w:rPr>
          <w:rFonts w:ascii="Calibri" w:hAnsi="Calibri"/>
        </w:rPr>
        <w:t>If you keep the Vault enabled, these values are saved locally and auto-filled the next time you open the app. If a Databricks push fails, the most common fix is to update the volume prefix to the exact writable Unity Catalog volume in your workspace.</w:t>
      </w:r>
    </w:p>
    <w:p>
      <w:pPr>
        <w:spacing w:after="200"/>
        <w:jc w:val="center"/>
      </w:pPr>
      <w:r>
        <w:rPr>
          <w:rFonts w:ascii="Calibri" w:hAnsi="Calibri"/>
          <w:i/>
          <w:color w:val="6E6E6E"/>
          <w:sz w:val="18"/>
        </w:rPr>
        <w:t>by: Saatvik</w:t>
      </w:r>
    </w:p>
    <w:p>
      <w:pPr>
        <w:spacing w:after="0"/>
      </w:pPr>
    </w:p>
    <w:p>
      <w:pPr>
        <w:spacing w:after="120"/>
      </w:pPr>
    </w:p>
    <w:sectPr w:rsidR="00FC693F" w:rsidRPr="0006063C" w:rsidSect="00034616">
      <w:footerReference w:type="default" r:id="rId9"/>
      <w:pgSz w:w="12240" w:h="15840"/>
      <w:pgMar w:top="1008"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26E"/>
        <w:sz w:val="18"/>
      </w:rPr>
      <w:t>Talend .item to XML + PySpark Converter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54072"/>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3456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407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A626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