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media/image1.jpeg" ContentType="image/jpeg"/>
  <Override PartName="/word/media/image14.wmf" ContentType="image/x-wmf"/>
  <Override PartName="/word/media/image3.png" ContentType="image/png"/>
  <Override PartName="/word/media/image13.wmf" ContentType="image/x-wmf"/>
  <Override PartName="/word/media/image2.png" ContentType="image/png"/>
  <Override PartName="/word/media/image15.wmf" ContentType="image/x-wmf"/>
  <Override PartName="/word/media/image4.png" ContentType="image/png"/>
  <Override PartName="/word/media/image17.wmf" ContentType="image/x-wmf"/>
  <Override PartName="/word/media/image6.png" ContentType="image/png"/>
  <Override PartName="/word/media/image5.wmf" ContentType="image/x-wmf"/>
  <Override PartName="/word/media/image7.png" ContentType="image/png"/>
  <Override PartName="/word/media/image18.wmf" ContentType="image/x-wmf"/>
  <Override PartName="/word/media/image8.png" ContentType="image/png"/>
  <Override PartName="/word/media/image19.wmf" ContentType="image/x-wmf"/>
  <Override PartName="/word/media/image9.png" ContentType="image/png"/>
  <Override PartName="/word/media/image10.wmf" ContentType="image/x-wmf"/>
  <Override PartName="/word/media/image11.wmf" ContentType="image/x-wmf"/>
  <Override PartName="/word/media/image12.wmf" ContentType="image/x-wmf"/>
  <Override PartName="/word/media/image16.wmf" ContentType="image/x-wmf"/>
  <Override PartName="/word/media/image20.wmf" ContentType="image/x-wmf"/>
  <Override PartName="/word/media/image21.wmf" ContentType="image/x-wmf"/>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Props5.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_rels/item5.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rPr/>
      </w:pPr>
      <w:r>
        <w:rPr/>
      </w:r>
    </w:p>
    <w:p>
      <w:pPr>
        <w:pStyle w:val="Normal"/>
        <w:spacing w:before="120" w:after="120"/>
        <w:rPr/>
      </w:pPr>
      <w:r>
        <w:rPr/>
      </w:r>
    </w:p>
    <w:p>
      <w:pPr>
        <w:pStyle w:val="Frontpagesubhead"/>
        <w:spacing w:before="120" w:after="120"/>
        <w:rPr/>
      </w:pPr>
      <w:r>
        <w:rPr/>
      </w:r>
    </w:p>
    <w:p>
      <w:pPr>
        <w:pStyle w:val="Frontpagesubhead"/>
        <w:spacing w:before="120" w:after="120"/>
        <w:rPr/>
      </w:pPr>
      <w:r>
        <w:rPr/>
      </w:r>
    </w:p>
    <w:p>
      <w:pPr>
        <w:pStyle w:val="Frontpagesubhead"/>
        <w:spacing w:before="120" w:after="120"/>
        <w:rPr/>
      </w:pPr>
      <w:r>
        <w:rPr/>
        <w:tab/>
      </w:r>
    </w:p>
    <w:p>
      <w:pPr>
        <w:pStyle w:val="Normal"/>
        <w:spacing w:before="120" w:after="120"/>
        <w:rPr/>
      </w:pPr>
      <w:r>
        <w:rPr/>
      </w:r>
    </w:p>
    <w:p>
      <w:pPr>
        <w:sectPr>
          <w:headerReference w:type="default" r:id="rId2"/>
          <w:footerReference w:type="default" r:id="rId3"/>
          <w:type w:val="nextPage"/>
          <w:pgSz w:w="11906" w:h="16838"/>
          <w:pgMar w:left="1021" w:right="1021" w:header="454" w:top="1021" w:footer="680" w:bottom="1021" w:gutter="0"/>
          <w:pgNumType w:fmt="decimal"/>
          <w:formProt w:val="false"/>
          <w:textDirection w:val="lrTb"/>
          <w:docGrid w:type="default" w:linePitch="360" w:charSpace="0"/>
        </w:sectPr>
        <w:pStyle w:val="Normal"/>
        <w:spacing w:before="120" w:after="120"/>
        <w:rPr/>
      </w:pPr>
      <w:r>
        <w:rPr/>
        <mc:AlternateContent>
          <mc:Choice Requires="wps">
            <w:drawing>
              <wp:anchor behindDoc="0" distT="0" distB="0" distL="0" distR="0" simplePos="0" locked="0" layoutInCell="1" allowOverlap="1" relativeHeight="2" wp14:anchorId="7D6C90E7">
                <wp:simplePos x="0" y="0"/>
                <wp:positionH relativeFrom="margin">
                  <wp:align>left</wp:align>
                </wp:positionH>
                <wp:positionV relativeFrom="page">
                  <wp:posOffset>3812540</wp:posOffset>
                </wp:positionV>
                <wp:extent cx="6372225" cy="1698625"/>
                <wp:effectExtent l="0" t="0" r="10160" b="0"/>
                <wp:wrapNone/>
                <wp:docPr id="1" name="Text Box 2"/>
                <a:graphic xmlns:a="http://schemas.openxmlformats.org/drawingml/2006/main">
                  <a:graphicData uri="http://schemas.microsoft.com/office/word/2010/wordprocessingShape">
                    <wps:wsp>
                      <wps:cNvSpPr/>
                      <wps:spPr>
                        <a:xfrm>
                          <a:off x="0" y="0"/>
                          <a:ext cx="6371640" cy="16981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ontpageTitle"/>
                              <w:spacing w:before="0" w:after="140"/>
                              <w:rPr/>
                            </w:pPr>
                            <w:sdt>
                              <w:sdtPr>
                                <w:alias w:val="Title"/>
                              </w:sdtPr>
                              <w:sdtContent>
                                <w:r>
                                  <w:rPr/>
                                  <w:t>National Event Management Service</w:t>
                                </w:r>
                                <w:r>
                                  <w:rPr/>
                                  <w:t xml:space="preserve"> (NEMS) Onboarding Guide</w:t>
                                </w:r>
                              </w:sdtContent>
                            </w:sdt>
                          </w:p>
                        </w:txbxContent>
                      </wps:txbx>
                      <wps:bodyPr lIns="0" rIns="0" tIns="0" bIns="0">
                        <a:noAutofit/>
                      </wps:bodyPr>
                    </wps:wsp>
                  </a:graphicData>
                </a:graphic>
              </wp:anchor>
            </w:drawing>
          </mc:Choice>
          <mc:Fallback>
            <w:pict>
              <v:rect id="shape_0" ID="Text Box 2" stroked="f" style="position:absolute;margin-left:0pt;margin-top:300.2pt;width:501.65pt;height:133.65pt;mso-position-horizontal:left;mso-position-horizontal-relative:margin;mso-position-vertical-relative:page" wp14:anchorId="7D6C90E7">
                <w10:wrap type="square"/>
                <v:fill o:detectmouseclick="t" on="false"/>
                <v:stroke color="#3465a4" weight="6480" joinstyle="round" endcap="flat"/>
                <v:textbox>
                  <w:txbxContent>
                    <w:p>
                      <w:pPr>
                        <w:pStyle w:val="FrontpageTitle"/>
                        <w:spacing w:before="0" w:after="140"/>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National Event Management Service</w:t>
                          </w:r>
                          <w:r>
                            <w:rPr/>
                            <w:t xml:space="preserve"> (NEMS) Onboarding Guide</w:t>
                          </w:r>
                        </w:sdtContent>
                      </w:sdt>
                    </w:p>
                  </w:txbxContent>
                </v:textbox>
              </v:rect>
            </w:pict>
          </mc:Fallback>
        </mc:AlternateContent>
        <mc:AlternateContent>
          <mc:Choice Requires="wps">
            <w:drawing>
              <wp:anchor behindDoc="0" distT="0" distB="0" distL="0" distR="0" simplePos="0" locked="0" layoutInCell="1" allowOverlap="1" relativeHeight="4" wp14:anchorId="2B28C283">
                <wp:simplePos x="0" y="0"/>
                <wp:positionH relativeFrom="margin">
                  <wp:align>left</wp:align>
                </wp:positionH>
                <wp:positionV relativeFrom="page">
                  <wp:posOffset>5942965</wp:posOffset>
                </wp:positionV>
                <wp:extent cx="4817110" cy="504190"/>
                <wp:effectExtent l="0" t="0" r="3175" b="10795"/>
                <wp:wrapNone/>
                <wp:docPr id="3" name="Text Box 3"/>
                <a:graphic xmlns:a="http://schemas.openxmlformats.org/drawingml/2006/main">
                  <a:graphicData uri="http://schemas.microsoft.com/office/word/2010/wordprocessingShape">
                    <wps:wsp>
                      <wps:cNvSpPr/>
                      <wps:spPr>
                        <a:xfrm>
                          <a:off x="0" y="0"/>
                          <a:ext cx="4816440" cy="503640"/>
                        </a:xfrm>
                        <a:prstGeom prst="rect">
                          <a:avLst/>
                        </a:prstGeom>
                        <a:noFill/>
                        <a:ln w="6480">
                          <a:noFill/>
                        </a:ln>
                      </wps:spPr>
                      <wps:style>
                        <a:lnRef idx="0"/>
                        <a:fillRef idx="0"/>
                        <a:effectRef idx="0"/>
                        <a:fontRef idx="minor"/>
                      </wps:style>
                      <wps:txbx>
                        <w:txbxContent>
                          <w:p>
                            <w:pPr>
                              <w:pStyle w:val="Publisheddate"/>
                              <w:numPr>
                                <w:ilvl w:val="0"/>
                                <w:numId w:val="0"/>
                              </w:numPr>
                              <w:tabs>
                                <w:tab w:val="clear" w:pos="720"/>
                                <w:tab w:val="left" w:pos="6663" w:leader="none"/>
                              </w:tabs>
                              <w:spacing w:before="60" w:after="60"/>
                              <w:ind w:left="0" w:hanging="0"/>
                              <w:rPr>
                                <w:sz w:val="32"/>
                                <w:szCs w:val="22"/>
                              </w:rPr>
                            </w:pPr>
                            <w:r>
                              <w:rPr>
                                <w:sz w:val="32"/>
                                <w:szCs w:val="22"/>
                              </w:rPr>
                              <w:t>V0.</w:t>
                            </w:r>
                            <w:r>
                              <w:rPr>
                                <w:sz w:val="32"/>
                                <w:szCs w:val="22"/>
                              </w:rPr>
                              <w:t>5 (DRAFT) August 2020</w:t>
                            </w:r>
                          </w:p>
                        </w:txbxContent>
                      </wps:txbx>
                      <wps:bodyPr lIns="0" rIns="0" tIns="0" bIns="0">
                        <a:noAutofit/>
                      </wps:bodyPr>
                    </wps:wsp>
                  </a:graphicData>
                </a:graphic>
              </wp:anchor>
            </w:drawing>
          </mc:Choice>
          <mc:Fallback>
            <w:pict>
              <v:rect id="shape_0" ID="Text Box 3" stroked="f" style="position:absolute;margin-left:0pt;margin-top:467.95pt;width:379.2pt;height:39.6pt;mso-position-horizontal:left;mso-position-horizontal-relative:margin;mso-position-vertical-relative:page" wp14:anchorId="2B28C283">
                <w10:wrap type="square"/>
                <v:fill o:detectmouseclick="t" on="false"/>
                <v:stroke color="#3465a4" weight="6480" joinstyle="round" endcap="flat"/>
                <v:textbox>
                  <w:txbxContent>
                    <w:p>
                      <w:pPr>
                        <w:pStyle w:val="Publisheddate"/>
                        <w:numPr>
                          <w:ilvl w:val="0"/>
                          <w:numId w:val="0"/>
                        </w:numPr>
                        <w:tabs>
                          <w:tab w:val="clear" w:pos="720"/>
                          <w:tab w:val="left" w:pos="6663" w:leader="none"/>
                        </w:tabs>
                        <w:spacing w:before="60" w:after="60"/>
                        <w:ind w:left="0" w:hanging="0"/>
                        <w:rPr>
                          <w:sz w:val="32"/>
                          <w:szCs w:val="22"/>
                        </w:rPr>
                      </w:pPr>
                      <w:r>
                        <w:rPr>
                          <w:sz w:val="32"/>
                          <w:szCs w:val="22"/>
                        </w:rPr>
                        <w:t>V0.</w:t>
                      </w:r>
                      <w:r>
                        <w:rPr>
                          <w:sz w:val="32"/>
                          <w:szCs w:val="22"/>
                        </w:rPr>
                        <w:t>5 (DRAFT) August 2020</w:t>
                      </w:r>
                    </w:p>
                  </w:txbxContent>
                </v:textbox>
              </v:rect>
            </w:pict>
          </mc:Fallback>
        </mc:AlternateContent>
      </w:r>
    </w:p>
    <w:p>
      <w:pPr>
        <w:pStyle w:val="Docmgmtheading"/>
        <w:rPr/>
      </w:pPr>
      <w:r>
        <w:rPr/>
        <w:t>Document Management</w:t>
      </w:r>
    </w:p>
    <w:p>
      <w:pPr>
        <w:pStyle w:val="DocMgmtSubhead"/>
        <w:rPr>
          <w:sz w:val="28"/>
          <w:szCs w:val="36"/>
        </w:rPr>
      </w:pPr>
      <w:bookmarkStart w:id="0" w:name="_Toc350847324"/>
      <w:bookmarkStart w:id="1" w:name="_Toc350847280"/>
      <w:r>
        <w:rPr>
          <w:sz w:val="28"/>
          <w:szCs w:val="36"/>
        </w:rPr>
        <w:t>Revision History</w:t>
      </w:r>
      <w:bookmarkEnd w:id="0"/>
      <w:bookmarkEnd w:id="1"/>
    </w:p>
    <w:tbl>
      <w:tblPr>
        <w:tblW w:w="4700" w:type="pct"/>
        <w:jc w:val="left"/>
        <w:tblInd w:w="0" w:type="dxa"/>
        <w:tblCellMar>
          <w:top w:w="0" w:type="dxa"/>
          <w:left w:w="108" w:type="dxa"/>
          <w:bottom w:w="0" w:type="dxa"/>
          <w:right w:w="108" w:type="dxa"/>
        </w:tblCellMar>
        <w:tblLook w:firstRow="0" w:noVBand="0" w:lastRow="0" w:firstColumn="0" w:lastColumn="0" w:noHBand="0" w:val="0000"/>
      </w:tblPr>
      <w:tblGrid>
        <w:gridCol w:w="946"/>
        <w:gridCol w:w="1213"/>
        <w:gridCol w:w="1807"/>
        <w:gridCol w:w="5305"/>
      </w:tblGrid>
      <w:tr>
        <w:trPr>
          <w:trHeight w:val="290" w:hRule="atLeast"/>
        </w:trPr>
        <w:tc>
          <w:tcPr>
            <w:tcW w:w="946"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Version</w:t>
            </w:r>
          </w:p>
        </w:tc>
        <w:tc>
          <w:tcPr>
            <w:tcW w:w="1213" w:type="dxa"/>
            <w:tcBorders>
              <w:top w:val="single" w:sz="2" w:space="0" w:color="000000"/>
              <w:bottom w:val="single" w:sz="2" w:space="0" w:color="000000"/>
            </w:tcBorders>
            <w:shd w:color="auto" w:fill="auto" w:val="clear"/>
          </w:tcPr>
          <w:p>
            <w:pPr>
              <w:pStyle w:val="TableHeader"/>
              <w:spacing w:before="120" w:after="120"/>
              <w:jc w:val="center"/>
              <w:rPr>
                <w:sz w:val="20"/>
                <w:szCs w:val="22"/>
              </w:rPr>
            </w:pPr>
            <w:r>
              <w:rPr>
                <w:sz w:val="20"/>
                <w:szCs w:val="22"/>
              </w:rPr>
              <w:t>Date</w:t>
            </w:r>
          </w:p>
        </w:tc>
        <w:tc>
          <w:tcPr>
            <w:tcW w:w="1807"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Author</w:t>
            </w:r>
          </w:p>
        </w:tc>
        <w:tc>
          <w:tcPr>
            <w:tcW w:w="5305"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Summary of Changes</w:t>
            </w:r>
          </w:p>
        </w:tc>
      </w:tr>
      <w:tr>
        <w:trPr>
          <w:trHeight w:val="290" w:hRule="atLeast"/>
        </w:trPr>
        <w:tc>
          <w:tcPr>
            <w:tcW w:w="946" w:type="dxa"/>
            <w:tcBorders>
              <w:top w:val="single" w:sz="2" w:space="0" w:color="000000"/>
              <w:bottom w:val="single" w:sz="2" w:space="0" w:color="B9B9B9"/>
              <w:right w:val="single" w:sz="2" w:space="0" w:color="B9B9B9"/>
            </w:tcBorders>
            <w:vAlign w:val="center"/>
          </w:tcPr>
          <w:p>
            <w:pPr>
              <w:pStyle w:val="TableText"/>
              <w:spacing w:before="120" w:after="120"/>
              <w:rPr>
                <w:sz w:val="20"/>
                <w:szCs w:val="22"/>
              </w:rPr>
            </w:pPr>
            <w:r>
              <w:rPr>
                <w:sz w:val="20"/>
                <w:szCs w:val="22"/>
              </w:rPr>
              <w:t>v0.1</w:t>
            </w:r>
          </w:p>
        </w:tc>
        <w:tc>
          <w:tcPr>
            <w:tcW w:w="1213" w:type="dxa"/>
            <w:tcBorders>
              <w:top w:val="single" w:sz="2" w:space="0" w:color="000000"/>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23/01/2020</w:t>
            </w:r>
          </w:p>
        </w:tc>
        <w:tc>
          <w:tcPr>
            <w:tcW w:w="1807" w:type="dxa"/>
            <w:tcBorders>
              <w:top w:val="single" w:sz="2" w:space="0" w:color="000000"/>
              <w:left w:val="single" w:sz="2" w:space="0" w:color="B9B9B9"/>
              <w:bottom w:val="single" w:sz="2" w:space="0" w:color="B9B9B9"/>
              <w:right w:val="single" w:sz="2" w:space="0" w:color="B9B9B9"/>
            </w:tcBorders>
          </w:tcPr>
          <w:p>
            <w:pPr>
              <w:pStyle w:val="TableText"/>
              <w:spacing w:before="120" w:after="120"/>
              <w:rPr>
                <w:sz w:val="20"/>
                <w:szCs w:val="22"/>
              </w:rPr>
            </w:pPr>
            <w:r>
              <w:rPr>
                <w:sz w:val="20"/>
                <w:szCs w:val="22"/>
              </w:rPr>
              <w:t>Gemma Beacock</w:t>
            </w:r>
          </w:p>
        </w:tc>
        <w:tc>
          <w:tcPr>
            <w:tcW w:w="5305" w:type="dxa"/>
            <w:tcBorders>
              <w:top w:val="single" w:sz="2" w:space="0" w:color="000000"/>
              <w:left w:val="single" w:sz="2" w:space="0" w:color="B9B9B9"/>
              <w:bottom w:val="single" w:sz="2" w:space="0" w:color="B9B9B9"/>
            </w:tcBorders>
            <w:vAlign w:val="center"/>
          </w:tcPr>
          <w:p>
            <w:pPr>
              <w:pStyle w:val="TableText"/>
              <w:spacing w:before="120" w:after="120"/>
              <w:rPr>
                <w:sz w:val="20"/>
                <w:szCs w:val="22"/>
              </w:rPr>
            </w:pPr>
            <w:r>
              <w:rPr>
                <w:sz w:val="20"/>
                <w:szCs w:val="22"/>
              </w:rPr>
              <w:t>Initial draft</w:t>
            </w:r>
          </w:p>
        </w:tc>
      </w:tr>
      <w:tr>
        <w:trPr>
          <w:trHeight w:val="290" w:hRule="atLeast"/>
        </w:trPr>
        <w:tc>
          <w:tcPr>
            <w:tcW w:w="946"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v0.2</w:t>
            </w:r>
          </w:p>
        </w:tc>
        <w:tc>
          <w:tcPr>
            <w:tcW w:w="1213"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05/05/2020</w:t>
            </w:r>
          </w:p>
        </w:tc>
        <w:tc>
          <w:tcPr>
            <w:tcW w:w="1807"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Rebecca Thirsk</w:t>
            </w:r>
          </w:p>
        </w:tc>
        <w:tc>
          <w:tcPr>
            <w:tcW w:w="5305" w:type="dxa"/>
            <w:tcBorders>
              <w:top w:val="single" w:sz="2" w:space="0" w:color="B9B9B9"/>
              <w:left w:val="single" w:sz="2" w:space="0" w:color="B9B9B9"/>
              <w:bottom w:val="single" w:sz="2" w:space="0" w:color="B9B9B9"/>
            </w:tcBorders>
            <w:vAlign w:val="center"/>
          </w:tcPr>
          <w:p>
            <w:pPr>
              <w:pStyle w:val="TableText"/>
              <w:spacing w:before="120" w:after="120"/>
              <w:rPr>
                <w:sz w:val="20"/>
                <w:szCs w:val="22"/>
              </w:rPr>
            </w:pPr>
            <w:r>
              <w:rPr>
                <w:sz w:val="20"/>
                <w:szCs w:val="22"/>
              </w:rPr>
              <w:t>Updated following review</w:t>
            </w:r>
          </w:p>
        </w:tc>
      </w:tr>
      <w:tr>
        <w:trPr>
          <w:trHeight w:val="290" w:hRule="atLeast"/>
        </w:trPr>
        <w:tc>
          <w:tcPr>
            <w:tcW w:w="946"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v0.3</w:t>
            </w:r>
          </w:p>
        </w:tc>
        <w:tc>
          <w:tcPr>
            <w:tcW w:w="1213"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16/07/2020</w:t>
            </w:r>
          </w:p>
        </w:tc>
        <w:tc>
          <w:tcPr>
            <w:tcW w:w="1807"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Rebecca Thirsk</w:t>
            </w:r>
          </w:p>
        </w:tc>
        <w:tc>
          <w:tcPr>
            <w:tcW w:w="5305" w:type="dxa"/>
            <w:tcBorders>
              <w:top w:val="single" w:sz="2" w:space="0" w:color="B9B9B9"/>
              <w:left w:val="single" w:sz="2" w:space="0" w:color="B9B9B9"/>
              <w:bottom w:val="single" w:sz="2" w:space="0" w:color="B9B9B9"/>
            </w:tcBorders>
            <w:vAlign w:val="center"/>
          </w:tcPr>
          <w:p>
            <w:pPr>
              <w:pStyle w:val="TableText"/>
              <w:spacing w:before="120" w:after="120"/>
              <w:rPr>
                <w:sz w:val="20"/>
                <w:szCs w:val="22"/>
              </w:rPr>
            </w:pPr>
            <w:r>
              <w:rPr>
                <w:sz w:val="20"/>
                <w:szCs w:val="22"/>
              </w:rPr>
              <w:t>Updated following review</w:t>
            </w:r>
          </w:p>
        </w:tc>
      </w:tr>
      <w:tr>
        <w:trPr>
          <w:trHeight w:val="290" w:hRule="atLeast"/>
        </w:trPr>
        <w:tc>
          <w:tcPr>
            <w:tcW w:w="946"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v0.4</w:t>
            </w:r>
          </w:p>
        </w:tc>
        <w:tc>
          <w:tcPr>
            <w:tcW w:w="1213"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10/08/2020</w:t>
            </w:r>
          </w:p>
        </w:tc>
        <w:tc>
          <w:tcPr>
            <w:tcW w:w="1807"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James Lane</w:t>
            </w:r>
          </w:p>
        </w:tc>
        <w:tc>
          <w:tcPr>
            <w:tcW w:w="5305" w:type="dxa"/>
            <w:tcBorders>
              <w:top w:val="single" w:sz="2" w:space="0" w:color="B9B9B9"/>
              <w:left w:val="single" w:sz="2" w:space="0" w:color="B9B9B9"/>
              <w:bottom w:val="single" w:sz="2" w:space="0" w:color="B9B9B9"/>
            </w:tcBorders>
            <w:vAlign w:val="center"/>
          </w:tcPr>
          <w:p>
            <w:pPr>
              <w:pStyle w:val="TableText"/>
              <w:spacing w:before="120" w:after="120"/>
              <w:rPr>
                <w:sz w:val="20"/>
                <w:szCs w:val="22"/>
              </w:rPr>
            </w:pPr>
            <w:r>
              <w:rPr>
                <w:sz w:val="20"/>
                <w:szCs w:val="22"/>
              </w:rPr>
              <w:t>Updates:</w:t>
            </w:r>
          </w:p>
          <w:p>
            <w:pPr>
              <w:pStyle w:val="TableText"/>
              <w:numPr>
                <w:ilvl w:val="0"/>
                <w:numId w:val="30"/>
              </w:numPr>
              <w:rPr>
                <w:sz w:val="20"/>
                <w:szCs w:val="22"/>
              </w:rPr>
            </w:pPr>
            <w:r>
              <w:rPr>
                <w:sz w:val="20"/>
                <w:szCs w:val="22"/>
              </w:rPr>
              <w:t>Details of the NEMS assurance stages</w:t>
            </w:r>
          </w:p>
          <w:p>
            <w:pPr>
              <w:pStyle w:val="TableText"/>
              <w:numPr>
                <w:ilvl w:val="0"/>
                <w:numId w:val="30"/>
              </w:numPr>
              <w:rPr>
                <w:sz w:val="20"/>
                <w:szCs w:val="22"/>
              </w:rPr>
            </w:pPr>
            <w:r>
              <w:rPr>
                <w:sz w:val="20"/>
                <w:szCs w:val="22"/>
              </w:rPr>
              <w:t>Elaborates TKW meaning</w:t>
            </w:r>
          </w:p>
          <w:p>
            <w:pPr>
              <w:pStyle w:val="TableText"/>
              <w:numPr>
                <w:ilvl w:val="0"/>
                <w:numId w:val="30"/>
              </w:numPr>
              <w:rPr>
                <w:sz w:val="20"/>
                <w:szCs w:val="22"/>
              </w:rPr>
            </w:pPr>
            <w:r>
              <w:rPr>
                <w:sz w:val="20"/>
                <w:szCs w:val="22"/>
              </w:rPr>
              <w:t>Updated contact details – route of entry</w:t>
            </w:r>
          </w:p>
          <w:p>
            <w:pPr>
              <w:pStyle w:val="TableText"/>
              <w:numPr>
                <w:ilvl w:val="0"/>
                <w:numId w:val="30"/>
              </w:numPr>
              <w:spacing w:before="120" w:after="120"/>
              <w:rPr>
                <w:sz w:val="20"/>
                <w:szCs w:val="22"/>
              </w:rPr>
            </w:pPr>
            <w:r>
              <w:rPr>
                <w:sz w:val="20"/>
                <w:szCs w:val="22"/>
              </w:rPr>
              <w:t>Further details – TKW/INT testing requirements</w:t>
            </w:r>
          </w:p>
        </w:tc>
      </w:tr>
      <w:tr>
        <w:trPr>
          <w:trHeight w:val="290" w:hRule="atLeast"/>
        </w:trPr>
        <w:tc>
          <w:tcPr>
            <w:tcW w:w="946"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v0.5</w:t>
            </w:r>
          </w:p>
        </w:tc>
        <w:tc>
          <w:tcPr>
            <w:tcW w:w="1213"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21/08/2020</w:t>
            </w:r>
          </w:p>
        </w:tc>
        <w:tc>
          <w:tcPr>
            <w:tcW w:w="1807"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James Lane</w:t>
            </w:r>
          </w:p>
        </w:tc>
        <w:tc>
          <w:tcPr>
            <w:tcW w:w="5305" w:type="dxa"/>
            <w:tcBorders>
              <w:top w:val="single" w:sz="2" w:space="0" w:color="B9B9B9"/>
              <w:left w:val="single" w:sz="2" w:space="0" w:color="B9B9B9"/>
              <w:bottom w:val="single" w:sz="2" w:space="0" w:color="B9B9B9"/>
            </w:tcBorders>
            <w:vAlign w:val="center"/>
          </w:tcPr>
          <w:p>
            <w:pPr>
              <w:pStyle w:val="TableText"/>
              <w:spacing w:before="120" w:after="120"/>
              <w:rPr>
                <w:sz w:val="20"/>
                <w:szCs w:val="22"/>
              </w:rPr>
            </w:pPr>
            <w:r>
              <w:rPr>
                <w:sz w:val="20"/>
                <w:szCs w:val="22"/>
              </w:rPr>
              <w:t>Updated following review</w:t>
            </w:r>
          </w:p>
        </w:tc>
      </w:tr>
    </w:tbl>
    <w:p>
      <w:pPr>
        <w:pStyle w:val="Normal"/>
        <w:spacing w:before="120" w:after="120"/>
        <w:rPr/>
      </w:pPr>
      <w:r>
        <w:rPr/>
      </w:r>
    </w:p>
    <w:p>
      <w:pPr>
        <w:pStyle w:val="DocMgmtSubhead"/>
        <w:rPr>
          <w:sz w:val="28"/>
          <w:szCs w:val="36"/>
        </w:rPr>
      </w:pPr>
      <w:bookmarkStart w:id="2" w:name="_Toc350847325"/>
      <w:bookmarkStart w:id="3" w:name="_Toc350847281"/>
      <w:r>
        <w:rPr>
          <w:sz w:val="28"/>
          <w:szCs w:val="36"/>
        </w:rPr>
        <w:t>Reviewers</w:t>
      </w:r>
      <w:bookmarkEnd w:id="2"/>
      <w:bookmarkEnd w:id="3"/>
    </w:p>
    <w:p>
      <w:pPr>
        <w:pStyle w:val="Normal"/>
        <w:spacing w:before="120" w:after="120"/>
        <w:rPr/>
      </w:pPr>
      <w:r>
        <w:rPr/>
        <w:t xml:space="preserve">This document has been reviewed by the following people: </w:t>
      </w:r>
    </w:p>
    <w:tbl>
      <w:tblPr>
        <w:tblW w:w="5000" w:type="pct"/>
        <w:jc w:val="left"/>
        <w:tblInd w:w="0" w:type="dxa"/>
        <w:tblCellMar>
          <w:top w:w="0" w:type="dxa"/>
          <w:left w:w="108" w:type="dxa"/>
          <w:bottom w:w="0" w:type="dxa"/>
          <w:right w:w="108" w:type="dxa"/>
        </w:tblCellMar>
        <w:tblLook w:firstRow="1" w:noVBand="0" w:lastRow="1" w:firstColumn="1" w:lastColumn="1" w:noHBand="0" w:val="01e0"/>
      </w:tblPr>
      <w:tblGrid>
        <w:gridCol w:w="2108"/>
        <w:gridCol w:w="4656"/>
        <w:gridCol w:w="1458"/>
        <w:gridCol w:w="1641"/>
      </w:tblGrid>
      <w:tr>
        <w:trPr>
          <w:tblHeader w:val="true"/>
          <w:cantSplit w:val="true"/>
        </w:trPr>
        <w:tc>
          <w:tcPr>
            <w:tcW w:w="2108"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Reviewer Name</w:t>
            </w:r>
          </w:p>
        </w:tc>
        <w:tc>
          <w:tcPr>
            <w:tcW w:w="4656" w:type="dxa"/>
            <w:tcBorders>
              <w:top w:val="single" w:sz="2" w:space="0" w:color="000000"/>
              <w:bottom w:val="single" w:sz="2" w:space="0" w:color="000000"/>
            </w:tcBorders>
            <w:shd w:color="auto" w:fill="auto" w:val="clear"/>
          </w:tcPr>
          <w:p>
            <w:pPr>
              <w:pStyle w:val="TableHeader"/>
              <w:spacing w:before="120" w:after="120"/>
              <w:jc w:val="center"/>
              <w:rPr>
                <w:sz w:val="20"/>
                <w:szCs w:val="22"/>
              </w:rPr>
            </w:pPr>
            <w:r>
              <w:rPr>
                <w:sz w:val="20"/>
                <w:szCs w:val="22"/>
              </w:rPr>
              <w:t>Title / Responsibility</w:t>
            </w:r>
          </w:p>
        </w:tc>
        <w:tc>
          <w:tcPr>
            <w:tcW w:w="1458"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Date</w:t>
            </w:r>
          </w:p>
        </w:tc>
        <w:tc>
          <w:tcPr>
            <w:tcW w:w="1641" w:type="dxa"/>
            <w:tcBorders>
              <w:top w:val="single" w:sz="2" w:space="0" w:color="000000"/>
              <w:bottom w:val="single" w:sz="2" w:space="0" w:color="000000"/>
            </w:tcBorders>
            <w:shd w:color="auto" w:fill="auto" w:val="clear"/>
          </w:tcPr>
          <w:p>
            <w:pPr>
              <w:pStyle w:val="TableHeader"/>
              <w:spacing w:before="120" w:after="120"/>
              <w:jc w:val="center"/>
              <w:rPr>
                <w:sz w:val="20"/>
                <w:szCs w:val="22"/>
              </w:rPr>
            </w:pPr>
            <w:r>
              <w:rPr>
                <w:sz w:val="20"/>
                <w:szCs w:val="22"/>
              </w:rPr>
              <w:t>Version</w:t>
            </w:r>
          </w:p>
        </w:tc>
      </w:tr>
      <w:tr>
        <w:trPr/>
        <w:tc>
          <w:tcPr>
            <w:tcW w:w="2108"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Raman Behl</w:t>
            </w:r>
          </w:p>
        </w:tc>
        <w:tc>
          <w:tcPr>
            <w:tcW w:w="4656"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NEMS / NRL Clinical Lead</w:t>
            </w:r>
          </w:p>
        </w:tc>
        <w:tc>
          <w:tcPr>
            <w:tcW w:w="1458"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25/08/2020</w:t>
            </w:r>
          </w:p>
        </w:tc>
        <w:tc>
          <w:tcPr>
            <w:tcW w:w="1641" w:type="dxa"/>
            <w:tcBorders>
              <w:top w:val="single" w:sz="2" w:space="0" w:color="B9B9B9"/>
              <w:left w:val="single" w:sz="2" w:space="0" w:color="B9B9B9"/>
              <w:bottom w:val="single" w:sz="2" w:space="0" w:color="B9B9B9"/>
            </w:tcBorders>
            <w:shd w:color="auto" w:fill="auto" w:val="clear"/>
            <w:vAlign w:val="center"/>
          </w:tcPr>
          <w:p>
            <w:pPr>
              <w:pStyle w:val="TableText"/>
              <w:spacing w:before="120" w:after="120"/>
              <w:rPr>
                <w:sz w:val="20"/>
                <w:szCs w:val="22"/>
              </w:rPr>
            </w:pPr>
            <w:r>
              <w:rPr>
                <w:sz w:val="20"/>
                <w:szCs w:val="22"/>
              </w:rPr>
              <w:t>v1.0</w:t>
            </w:r>
          </w:p>
        </w:tc>
      </w:tr>
      <w:tr>
        <w:trPr/>
        <w:tc>
          <w:tcPr>
            <w:tcW w:w="2108"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Andy Quinn</w:t>
            </w:r>
          </w:p>
        </w:tc>
        <w:tc>
          <w:tcPr>
            <w:tcW w:w="4656"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NEMS Project Manager</w:t>
            </w:r>
          </w:p>
        </w:tc>
        <w:tc>
          <w:tcPr>
            <w:tcW w:w="1458"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25/08/2020</w:t>
            </w:r>
          </w:p>
        </w:tc>
        <w:tc>
          <w:tcPr>
            <w:tcW w:w="1641" w:type="dxa"/>
            <w:tcBorders>
              <w:top w:val="single" w:sz="2" w:space="0" w:color="B9B9B9"/>
              <w:left w:val="single" w:sz="2" w:space="0" w:color="B9B9B9"/>
              <w:bottom w:val="single" w:sz="2" w:space="0" w:color="B9B9B9"/>
            </w:tcBorders>
            <w:shd w:color="auto" w:fill="auto" w:val="clear"/>
            <w:vAlign w:val="center"/>
          </w:tcPr>
          <w:p>
            <w:pPr>
              <w:pStyle w:val="TableText"/>
              <w:spacing w:before="120" w:after="120"/>
              <w:rPr>
                <w:sz w:val="20"/>
                <w:szCs w:val="22"/>
              </w:rPr>
            </w:pPr>
            <w:r>
              <w:rPr>
                <w:sz w:val="20"/>
                <w:szCs w:val="22"/>
              </w:rPr>
              <w:t>v1.0</w:t>
            </w:r>
          </w:p>
        </w:tc>
      </w:tr>
      <w:tr>
        <w:trPr/>
        <w:tc>
          <w:tcPr>
            <w:tcW w:w="2108"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James Cox</w:t>
            </w:r>
          </w:p>
        </w:tc>
        <w:tc>
          <w:tcPr>
            <w:tcW w:w="4656"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NEMS Technical Architect</w:t>
            </w:r>
          </w:p>
        </w:tc>
        <w:tc>
          <w:tcPr>
            <w:tcW w:w="1458"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25/08/2020</w:t>
            </w:r>
          </w:p>
        </w:tc>
        <w:tc>
          <w:tcPr>
            <w:tcW w:w="1641" w:type="dxa"/>
            <w:tcBorders>
              <w:top w:val="single" w:sz="2" w:space="0" w:color="B9B9B9"/>
              <w:left w:val="single" w:sz="2" w:space="0" w:color="B9B9B9"/>
              <w:bottom w:val="single" w:sz="2" w:space="0" w:color="B9B9B9"/>
            </w:tcBorders>
            <w:shd w:color="auto" w:fill="auto" w:val="clear"/>
            <w:vAlign w:val="center"/>
          </w:tcPr>
          <w:p>
            <w:pPr>
              <w:pStyle w:val="TableText"/>
              <w:spacing w:before="120" w:after="120"/>
              <w:rPr>
                <w:sz w:val="20"/>
                <w:szCs w:val="22"/>
              </w:rPr>
            </w:pPr>
            <w:r>
              <w:rPr>
                <w:sz w:val="20"/>
                <w:szCs w:val="22"/>
              </w:rPr>
              <w:t>v1.0</w:t>
            </w:r>
          </w:p>
        </w:tc>
      </w:tr>
      <w:tr>
        <w:trPr/>
        <w:tc>
          <w:tcPr>
            <w:tcW w:w="2108"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Rebecca Thirsk</w:t>
            </w:r>
          </w:p>
        </w:tc>
        <w:tc>
          <w:tcPr>
            <w:tcW w:w="4656"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Principal Business Analysis Manager</w:t>
            </w:r>
          </w:p>
        </w:tc>
        <w:tc>
          <w:tcPr>
            <w:tcW w:w="1458"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25/08/2020</w:t>
            </w:r>
          </w:p>
        </w:tc>
        <w:tc>
          <w:tcPr>
            <w:tcW w:w="1641" w:type="dxa"/>
            <w:tcBorders>
              <w:top w:val="single" w:sz="2" w:space="0" w:color="B9B9B9"/>
              <w:left w:val="single" w:sz="2" w:space="0" w:color="B9B9B9"/>
              <w:bottom w:val="single" w:sz="2" w:space="0" w:color="B9B9B9"/>
            </w:tcBorders>
            <w:shd w:color="auto" w:fill="auto" w:val="clear"/>
            <w:vAlign w:val="center"/>
          </w:tcPr>
          <w:p>
            <w:pPr>
              <w:pStyle w:val="TableText"/>
              <w:spacing w:before="120" w:after="120"/>
              <w:rPr>
                <w:sz w:val="20"/>
                <w:szCs w:val="22"/>
              </w:rPr>
            </w:pPr>
            <w:r>
              <w:rPr>
                <w:sz w:val="20"/>
                <w:szCs w:val="22"/>
              </w:rPr>
              <w:t>v1.0</w:t>
            </w:r>
          </w:p>
        </w:tc>
      </w:tr>
      <w:tr>
        <w:trPr/>
        <w:tc>
          <w:tcPr>
            <w:tcW w:w="2108"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Rebecca Snape</w:t>
            </w:r>
          </w:p>
        </w:tc>
        <w:tc>
          <w:tcPr>
            <w:tcW w:w="4656"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NEMS / NRL Product Manager</w:t>
            </w:r>
          </w:p>
        </w:tc>
        <w:tc>
          <w:tcPr>
            <w:tcW w:w="1458"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25/08/2020</w:t>
            </w:r>
          </w:p>
        </w:tc>
        <w:tc>
          <w:tcPr>
            <w:tcW w:w="1641" w:type="dxa"/>
            <w:tcBorders>
              <w:top w:val="single" w:sz="2" w:space="0" w:color="B9B9B9"/>
              <w:left w:val="single" w:sz="2" w:space="0" w:color="B9B9B9"/>
              <w:bottom w:val="single" w:sz="2" w:space="0" w:color="B9B9B9"/>
            </w:tcBorders>
            <w:shd w:color="auto" w:fill="auto" w:val="clear"/>
            <w:vAlign w:val="center"/>
          </w:tcPr>
          <w:p>
            <w:pPr>
              <w:pStyle w:val="TableText"/>
              <w:spacing w:before="120" w:after="120"/>
              <w:rPr>
                <w:sz w:val="20"/>
                <w:szCs w:val="22"/>
              </w:rPr>
            </w:pPr>
            <w:r>
              <w:rPr>
                <w:sz w:val="20"/>
                <w:szCs w:val="22"/>
              </w:rPr>
              <w:t>v1.0</w:t>
            </w:r>
          </w:p>
        </w:tc>
      </w:tr>
      <w:tr>
        <w:trPr/>
        <w:tc>
          <w:tcPr>
            <w:tcW w:w="2108" w:type="dxa"/>
            <w:tcBorders>
              <w:top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Shail Ravjibhai</w:t>
            </w:r>
          </w:p>
        </w:tc>
        <w:tc>
          <w:tcPr>
            <w:tcW w:w="4656" w:type="dxa"/>
            <w:tcBorders>
              <w:top w:val="single" w:sz="2" w:space="0" w:color="B9B9B9"/>
              <w:left w:val="single" w:sz="2" w:space="0" w:color="B9B9B9"/>
              <w:bottom w:val="single" w:sz="2" w:space="0" w:color="B9B9B9"/>
              <w:right w:val="single" w:sz="2" w:space="0" w:color="B9B9B9"/>
            </w:tcBorders>
            <w:shd w:color="auto" w:fill="auto" w:val="clear"/>
            <w:vAlign w:val="center"/>
          </w:tcPr>
          <w:p>
            <w:pPr>
              <w:pStyle w:val="TableText"/>
              <w:spacing w:before="120" w:after="120"/>
              <w:rPr>
                <w:sz w:val="20"/>
                <w:szCs w:val="22"/>
              </w:rPr>
            </w:pPr>
            <w:r>
              <w:rPr>
                <w:sz w:val="20"/>
                <w:szCs w:val="22"/>
              </w:rPr>
              <w:t>DCH Business Analysis Manager</w:t>
            </w:r>
          </w:p>
        </w:tc>
        <w:tc>
          <w:tcPr>
            <w:tcW w:w="1458" w:type="dxa"/>
            <w:tcBorders>
              <w:top w:val="single" w:sz="2" w:space="0" w:color="B9B9B9"/>
              <w:left w:val="single" w:sz="2" w:space="0" w:color="B9B9B9"/>
              <w:bottom w:val="single" w:sz="2" w:space="0" w:color="B9B9B9"/>
              <w:right w:val="single" w:sz="2" w:space="0" w:color="B9B9B9"/>
            </w:tcBorders>
            <w:vAlign w:val="center"/>
          </w:tcPr>
          <w:p>
            <w:pPr>
              <w:pStyle w:val="TableText"/>
              <w:spacing w:before="120" w:after="120"/>
              <w:rPr>
                <w:sz w:val="20"/>
                <w:szCs w:val="22"/>
              </w:rPr>
            </w:pPr>
            <w:r>
              <w:rPr>
                <w:sz w:val="20"/>
                <w:szCs w:val="22"/>
              </w:rPr>
              <w:t>25/08/2020</w:t>
            </w:r>
          </w:p>
        </w:tc>
        <w:tc>
          <w:tcPr>
            <w:tcW w:w="1641" w:type="dxa"/>
            <w:tcBorders>
              <w:top w:val="single" w:sz="2" w:space="0" w:color="B9B9B9"/>
              <w:left w:val="single" w:sz="2" w:space="0" w:color="B9B9B9"/>
              <w:bottom w:val="single" w:sz="2" w:space="0" w:color="B9B9B9"/>
            </w:tcBorders>
            <w:shd w:color="auto" w:fill="auto" w:val="clear"/>
            <w:vAlign w:val="center"/>
          </w:tcPr>
          <w:p>
            <w:pPr>
              <w:pStyle w:val="TableText"/>
              <w:spacing w:before="120" w:after="120"/>
              <w:rPr>
                <w:sz w:val="20"/>
                <w:szCs w:val="22"/>
              </w:rPr>
            </w:pPr>
            <w:r>
              <w:rPr>
                <w:sz w:val="20"/>
                <w:szCs w:val="22"/>
              </w:rPr>
              <w:t>v1.0</w:t>
            </w:r>
          </w:p>
        </w:tc>
      </w:tr>
    </w:tbl>
    <w:p>
      <w:pPr>
        <w:pStyle w:val="Normal"/>
        <w:spacing w:before="120" w:after="120"/>
        <w:rPr/>
      </w:pPr>
      <w:r>
        <w:rPr/>
      </w:r>
    </w:p>
    <w:p>
      <w:pPr>
        <w:pStyle w:val="DocMgmtSubhead"/>
        <w:rPr>
          <w:sz w:val="28"/>
          <w:szCs w:val="28"/>
        </w:rPr>
      </w:pPr>
      <w:bookmarkStart w:id="4" w:name="_Toc350847326"/>
      <w:bookmarkStart w:id="5" w:name="_Toc350847282"/>
      <w:r>
        <w:rPr>
          <w:sz w:val="28"/>
          <w:szCs w:val="28"/>
        </w:rPr>
        <w:t>Approved by</w:t>
      </w:r>
      <w:bookmarkEnd w:id="4"/>
      <w:bookmarkEnd w:id="5"/>
    </w:p>
    <w:p>
      <w:pPr>
        <w:pStyle w:val="Normal"/>
        <w:spacing w:before="120" w:after="120"/>
        <w:rPr/>
      </w:pPr>
      <w:r>
        <w:rPr/>
        <w:t xml:space="preserve">This document must be approved by the following people / boards: </w:t>
      </w:r>
    </w:p>
    <w:tbl>
      <w:tblPr>
        <w:tblW w:w="5000" w:type="pct"/>
        <w:jc w:val="left"/>
        <w:tblInd w:w="0" w:type="dxa"/>
        <w:tblCellMar>
          <w:top w:w="0" w:type="dxa"/>
          <w:left w:w="108" w:type="dxa"/>
          <w:bottom w:w="0" w:type="dxa"/>
          <w:right w:w="108" w:type="dxa"/>
        </w:tblCellMar>
        <w:tblLook w:firstRow="0" w:noVBand="0" w:lastRow="0" w:firstColumn="0" w:lastColumn="0" w:noHBand="0" w:val="0000"/>
      </w:tblPr>
      <w:tblGrid>
        <w:gridCol w:w="2126"/>
        <w:gridCol w:w="2128"/>
        <w:gridCol w:w="3011"/>
        <w:gridCol w:w="1444"/>
        <w:gridCol w:w="1155"/>
      </w:tblGrid>
      <w:tr>
        <w:trPr>
          <w:tblHeader w:val="true"/>
          <w:trHeight w:val="290" w:hRule="atLeast"/>
          <w:cantSplit w:val="true"/>
        </w:trPr>
        <w:tc>
          <w:tcPr>
            <w:tcW w:w="2126"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Name</w:t>
            </w:r>
          </w:p>
        </w:tc>
        <w:tc>
          <w:tcPr>
            <w:tcW w:w="2128"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Signature</w:t>
            </w:r>
          </w:p>
        </w:tc>
        <w:tc>
          <w:tcPr>
            <w:tcW w:w="3011"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Title</w:t>
            </w:r>
          </w:p>
        </w:tc>
        <w:tc>
          <w:tcPr>
            <w:tcW w:w="1444"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Date</w:t>
            </w:r>
          </w:p>
        </w:tc>
        <w:tc>
          <w:tcPr>
            <w:tcW w:w="1155" w:type="dxa"/>
            <w:tcBorders>
              <w:top w:val="single" w:sz="2" w:space="0" w:color="000000"/>
              <w:bottom w:val="single" w:sz="2" w:space="0" w:color="000000"/>
            </w:tcBorders>
          </w:tcPr>
          <w:p>
            <w:pPr>
              <w:pStyle w:val="TableHeader"/>
              <w:spacing w:before="120" w:after="120"/>
              <w:jc w:val="center"/>
              <w:rPr>
                <w:sz w:val="20"/>
                <w:szCs w:val="22"/>
              </w:rPr>
            </w:pPr>
            <w:r>
              <w:rPr>
                <w:sz w:val="20"/>
                <w:szCs w:val="22"/>
              </w:rPr>
              <w:t>Version</w:t>
            </w:r>
          </w:p>
        </w:tc>
      </w:tr>
      <w:tr>
        <w:trPr>
          <w:trHeight w:val="290" w:hRule="atLeast"/>
        </w:trPr>
        <w:tc>
          <w:tcPr>
            <w:tcW w:w="2126" w:type="dxa"/>
            <w:tcBorders>
              <w:top w:val="single" w:sz="2" w:space="0" w:color="000000"/>
              <w:bottom w:val="single" w:sz="2" w:space="0" w:color="000000"/>
              <w:right w:val="single" w:sz="2" w:space="0" w:color="B9B9B9"/>
            </w:tcBorders>
            <w:vAlign w:val="center"/>
          </w:tcPr>
          <w:p>
            <w:pPr>
              <w:pStyle w:val="TableText"/>
              <w:spacing w:before="120" w:after="120"/>
              <w:rPr>
                <w:sz w:val="20"/>
                <w:szCs w:val="22"/>
              </w:rPr>
            </w:pPr>
            <w:r>
              <w:rPr>
                <w:sz w:val="20"/>
                <w:szCs w:val="22"/>
              </w:rPr>
              <w:t>Gemma Beacock</w:t>
            </w:r>
          </w:p>
        </w:tc>
        <w:tc>
          <w:tcPr>
            <w:tcW w:w="2128" w:type="dxa"/>
            <w:tcBorders>
              <w:top w:val="single" w:sz="2" w:space="0" w:color="000000"/>
              <w:left w:val="single" w:sz="2" w:space="0" w:color="B9B9B9"/>
              <w:bottom w:val="single" w:sz="2" w:space="0" w:color="000000"/>
              <w:right w:val="single" w:sz="2" w:space="0" w:color="B9B9B9"/>
            </w:tcBorders>
            <w:vAlign w:val="center"/>
          </w:tcPr>
          <w:p>
            <w:pPr>
              <w:pStyle w:val="TableText"/>
              <w:spacing w:before="120" w:after="120"/>
              <w:rPr>
                <w:sz w:val="20"/>
                <w:szCs w:val="22"/>
              </w:rPr>
            </w:pPr>
            <w:r>
              <w:rPr>
                <w:sz w:val="20"/>
                <w:szCs w:val="22"/>
              </w:rPr>
            </w:r>
          </w:p>
        </w:tc>
        <w:tc>
          <w:tcPr>
            <w:tcW w:w="3011" w:type="dxa"/>
            <w:tcBorders>
              <w:top w:val="single" w:sz="2" w:space="0" w:color="000000"/>
              <w:left w:val="single" w:sz="2" w:space="0" w:color="B9B9B9"/>
              <w:bottom w:val="single" w:sz="2" w:space="0" w:color="000000"/>
              <w:right w:val="single" w:sz="2" w:space="0" w:color="B9B9B9"/>
            </w:tcBorders>
            <w:vAlign w:val="center"/>
          </w:tcPr>
          <w:p>
            <w:pPr>
              <w:pStyle w:val="TableText"/>
              <w:spacing w:before="120" w:after="120"/>
              <w:rPr>
                <w:sz w:val="20"/>
                <w:szCs w:val="22"/>
              </w:rPr>
            </w:pPr>
            <w:r>
              <w:rPr>
                <w:sz w:val="20"/>
                <w:szCs w:val="22"/>
              </w:rPr>
              <w:t>NEMS / NRL Product Owner</w:t>
            </w:r>
          </w:p>
        </w:tc>
        <w:tc>
          <w:tcPr>
            <w:tcW w:w="1444" w:type="dxa"/>
            <w:tcBorders>
              <w:top w:val="single" w:sz="2" w:space="0" w:color="000000"/>
              <w:left w:val="single" w:sz="2" w:space="0" w:color="B9B9B9"/>
              <w:bottom w:val="single" w:sz="2" w:space="0" w:color="000000"/>
              <w:right w:val="single" w:sz="2" w:space="0" w:color="B9B9B9"/>
            </w:tcBorders>
            <w:vAlign w:val="center"/>
          </w:tcPr>
          <w:p>
            <w:pPr>
              <w:pStyle w:val="TableText"/>
              <w:spacing w:before="120" w:after="120"/>
              <w:rPr>
                <w:sz w:val="20"/>
                <w:szCs w:val="22"/>
              </w:rPr>
            </w:pPr>
            <w:r>
              <w:rPr>
                <w:sz w:val="20"/>
                <w:szCs w:val="22"/>
              </w:rPr>
            </w:r>
          </w:p>
        </w:tc>
        <w:tc>
          <w:tcPr>
            <w:tcW w:w="1155" w:type="dxa"/>
            <w:tcBorders>
              <w:top w:val="single" w:sz="2" w:space="0" w:color="000000"/>
              <w:left w:val="single" w:sz="2" w:space="0" w:color="B9B9B9"/>
              <w:bottom w:val="single" w:sz="2" w:space="0" w:color="000000"/>
            </w:tcBorders>
            <w:vAlign w:val="center"/>
          </w:tcPr>
          <w:p>
            <w:pPr>
              <w:pStyle w:val="TableText"/>
              <w:spacing w:before="120" w:after="120"/>
              <w:rPr>
                <w:sz w:val="20"/>
                <w:szCs w:val="22"/>
              </w:rPr>
            </w:pPr>
            <w:r>
              <w:rPr>
                <w:sz w:val="20"/>
                <w:szCs w:val="22"/>
              </w:rPr>
            </w:r>
          </w:p>
        </w:tc>
      </w:tr>
    </w:tbl>
    <w:p>
      <w:pPr>
        <w:pStyle w:val="Heading1"/>
        <w:numPr>
          <w:ilvl w:val="0"/>
          <w:numId w:val="0"/>
        </w:numPr>
        <w:ind w:left="0" w:hanging="0"/>
        <w:rPr/>
      </w:pPr>
      <w:r>
        <w:rPr/>
      </w:r>
    </w:p>
    <w:p>
      <w:pPr>
        <w:pStyle w:val="Normal"/>
        <w:spacing w:before="120" w:after="120"/>
        <w:rPr/>
      </w:pPr>
      <w:r>
        <w:rPr/>
      </w:r>
      <w:r>
        <w:br w:type="page"/>
      </w:r>
    </w:p>
    <w:p>
      <w:pPr>
        <w:pStyle w:val="DocMgmtSubhead"/>
        <w:spacing w:lineRule="auto"/>
        <w:rPr>
          <w:sz w:val="28"/>
          <w:szCs w:val="28"/>
        </w:rPr>
      </w:pPr>
      <w:r>
        <w:rPr>
          <w:sz w:val="28"/>
          <w:szCs w:val="28"/>
        </w:rPr>
        <w:t>Glossary of Terms</w:t>
      </w:r>
    </w:p>
    <w:tbl>
      <w:tblPr>
        <w:tblW w:w="5000" w:type="pct"/>
        <w:jc w:val="left"/>
        <w:tblInd w:w="0" w:type="dxa"/>
        <w:tblCellMar>
          <w:top w:w="0" w:type="dxa"/>
          <w:left w:w="108" w:type="dxa"/>
          <w:bottom w:w="0" w:type="dxa"/>
          <w:right w:w="108" w:type="dxa"/>
        </w:tblCellMar>
        <w:tblLook w:firstRow="0" w:noVBand="0" w:lastRow="0" w:firstColumn="0" w:lastColumn="0" w:noHBand="0" w:val="0000"/>
      </w:tblPr>
      <w:tblGrid>
        <w:gridCol w:w="2708"/>
        <w:gridCol w:w="7155"/>
      </w:tblGrid>
      <w:tr>
        <w:trPr>
          <w:tblHeader w:val="true"/>
          <w:cantSplit w:val="true"/>
        </w:trPr>
        <w:tc>
          <w:tcPr>
            <w:tcW w:w="2708" w:type="dxa"/>
            <w:tcBorders>
              <w:top w:val="single" w:sz="2" w:space="0" w:color="000000"/>
              <w:bottom w:val="single" w:sz="2" w:space="0" w:color="000000"/>
            </w:tcBorders>
          </w:tcPr>
          <w:p>
            <w:pPr>
              <w:pStyle w:val="TableHeader"/>
              <w:spacing w:lineRule="auto" w:before="120" w:after="120"/>
              <w:rPr>
                <w:sz w:val="20"/>
                <w:szCs w:val="22"/>
                <w:lang w:val="en-GB"/>
              </w:rPr>
            </w:pPr>
            <w:r>
              <w:rPr>
                <w:sz w:val="20"/>
                <w:szCs w:val="22"/>
                <w:lang w:val="en-GB"/>
              </w:rPr>
              <w:t>Term / Abbreviation</w:t>
            </w:r>
          </w:p>
        </w:tc>
        <w:tc>
          <w:tcPr>
            <w:tcW w:w="7155" w:type="dxa"/>
            <w:tcBorders>
              <w:top w:val="single" w:sz="2" w:space="0" w:color="000000"/>
              <w:bottom w:val="single" w:sz="2" w:space="0" w:color="000000"/>
            </w:tcBorders>
          </w:tcPr>
          <w:p>
            <w:pPr>
              <w:pStyle w:val="TableHeader"/>
              <w:spacing w:lineRule="auto" w:before="120" w:after="120"/>
              <w:rPr>
                <w:sz w:val="20"/>
                <w:szCs w:val="22"/>
                <w:lang w:val="en-GB"/>
              </w:rPr>
            </w:pPr>
            <w:r>
              <w:rPr>
                <w:sz w:val="20"/>
                <w:szCs w:val="22"/>
                <w:lang w:val="en-GB"/>
              </w:rPr>
              <w:t>What it stands for</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AIDA</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Applications and Infrastructure Design Authority</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API</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Application Programming Interface</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ASID</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Accredited System ID</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BIDA</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Business Interoperability Design Authority</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CDA</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Cyber Design Authority</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DCH</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Digital Child Health</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DDA</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Data Design Authority</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DHSC</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Department of Health and Social Care</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DIP</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Digital Interoperability Platform</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DPIA</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Data Protection Impact Assessment</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DVP</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Deployment Verification Period</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FHIR</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Fast Healthcare Interoperability Resources</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HSCN</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Health and Social Care Network</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IG</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Information Governance</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IopS</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Interoperability Standards</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ITK</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Interoperability Toolkit Standards</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IWG</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Interoperability Working Group</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LHCR</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Local Health Care Record</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MESH</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Message Exchange for Social Care and Health</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N3</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NHS Secure National Broadband</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NEMS</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National Event Management Service</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NHS</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National Health Service</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NHSD</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NHS Digital</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NRL</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National Record Locator</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NWR</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New Work Request</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ODS</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Organisation Data Service</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PDS</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Person Demographic Service</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PHE</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Public Health England</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RBAC</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Role Based Access Control</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SCAL</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Supplier Conformance Assessment List</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TCC</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Technical Conformance Certificate</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TKW</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Toolkit Workbench</w:t>
            </w:r>
          </w:p>
        </w:tc>
      </w:tr>
      <w:tr>
        <w:trPr/>
        <w:tc>
          <w:tcPr>
            <w:tcW w:w="2708"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TRG</w:t>
            </w:r>
          </w:p>
        </w:tc>
        <w:tc>
          <w:tcPr>
            <w:tcW w:w="7155" w:type="dxa"/>
            <w:tcBorders>
              <w:top w:val="single" w:sz="2" w:space="0" w:color="B9B9B9"/>
              <w:bottom w:val="single" w:sz="2" w:space="0" w:color="B9B9B9"/>
            </w:tcBorders>
            <w:vAlign w:val="center"/>
          </w:tcPr>
          <w:p>
            <w:pPr>
              <w:pStyle w:val="TableText"/>
              <w:spacing w:lineRule="auto" w:before="120" w:after="120"/>
              <w:rPr>
                <w:sz w:val="20"/>
                <w:szCs w:val="22"/>
              </w:rPr>
            </w:pPr>
            <w:r>
              <w:rPr>
                <w:sz w:val="20"/>
                <w:szCs w:val="22"/>
              </w:rPr>
              <w:t>Technical Review and Governance</w:t>
            </w:r>
          </w:p>
        </w:tc>
      </w:tr>
    </w:tbl>
    <w:p>
      <w:pPr>
        <w:pStyle w:val="NormalBold"/>
        <w:spacing w:lineRule="auto"/>
        <w:rPr/>
      </w:pPr>
      <w:r>
        <w:rPr/>
      </w:r>
    </w:p>
    <w:p>
      <w:pPr>
        <w:pStyle w:val="NormalBold"/>
        <w:spacing w:lineRule="auto"/>
        <w:rPr/>
      </w:pPr>
      <w:r>
        <w:rPr/>
        <w:t>Document Control:</w:t>
      </w:r>
    </w:p>
    <w:p>
      <w:pPr>
        <w:pStyle w:val="Normal"/>
        <w:spacing w:before="120" w:after="120"/>
        <w:rPr>
          <w:rFonts w:cs="Arial"/>
          <w:b/>
          <w:b/>
          <w:bCs/>
          <w:color w:val="005EB8" w:themeColor="accent1"/>
          <w:spacing w:val="-14"/>
          <w:kern w:val="2"/>
          <w:sz w:val="42"/>
          <w:szCs w:val="32"/>
          <w14:ligatures w14:val="standardContextual"/>
        </w:rPr>
      </w:pPr>
      <w:r>
        <w:rPr/>
        <w:t>The controlled copy of this document is maintained in the NHSD corporate network. Any copies of this document held outside of that area, in whatever format (e.g. paper, email attachment), are considered to have passed out of control and should be checked for currency and validity.</w:t>
      </w:r>
      <w:r>
        <w:br w:type="page"/>
      </w:r>
    </w:p>
    <w:p>
      <w:pPr>
        <w:pStyle w:val="Normal"/>
        <w:spacing w:before="120" w:after="120"/>
        <w:rPr>
          <w:sz w:val="32"/>
          <w:szCs w:val="32"/>
        </w:rPr>
      </w:pPr>
      <w:r>
        <w:rPr>
          <w:sz w:val="32"/>
          <w:szCs w:val="32"/>
        </w:rPr>
        <w:t>Contents</w:t>
      </w:r>
    </w:p>
    <w:p>
      <w:pPr>
        <w:sectPr>
          <w:headerReference w:type="default" r:id="rId4"/>
          <w:footerReference w:type="default" r:id="rId5"/>
          <w:type w:val="nextPage"/>
          <w:pgSz w:w="11906" w:h="16838"/>
          <w:pgMar w:left="1021" w:right="1021" w:header="454" w:top="1021" w:footer="557" w:bottom="1021" w:gutter="0"/>
          <w:pgNumType w:fmt="decimal"/>
          <w:formProt w:val="false"/>
          <w:textDirection w:val="lrTb"/>
          <w:docGrid w:type="default" w:linePitch="360" w:charSpace="0"/>
        </w:sectPr>
      </w:pPr>
    </w:p>
    <w:p>
      <w:pPr>
        <w:pStyle w:val="Normal"/>
        <w:spacing w:before="120" w:after="120"/>
        <w:rPr>
          <w:sz w:val="32"/>
          <w:szCs w:val="32"/>
        </w:rPr>
      </w:pPr>
      <w:r>
        <w:rPr/>
      </w:r>
    </w:p>
    <w:sdt>
      <w:sdtPr>
        <w:docPartObj>
          <w:docPartGallery w:val="Table of Contents"/>
          <w:docPartUnique w:val="true"/>
        </w:docPartObj>
        <w:id w:val="89035143"/>
      </w:sdtPr>
      <w:sdtContent>
        <w:p>
          <w:pPr>
            <w:pStyle w:val="Contents1"/>
            <w:rPr>
              <w:rFonts w:ascii="Arial" w:hAnsi="Arial" w:eastAsia="ＭＳ Ｐゴシック" w:cs="Arial" w:asciiTheme="minorHAnsi" w:cstheme="minorBidi" w:eastAsiaTheme="minorEastAsia" w:hAnsiTheme="minorHAnsi"/>
              <w:b w:val="false"/>
              <w:b w:val="false"/>
              <w:color w:val="auto"/>
              <w:sz w:val="22"/>
              <w:szCs w:val="22"/>
              <w:lang w:eastAsia="en-GB"/>
            </w:rPr>
          </w:pPr>
          <w:r>
            <w:fldChar w:fldCharType="begin"/>
          </w:r>
          <w:r>
            <w:rPr>
              <w:webHidden/>
              <w:rStyle w:val="IndexLink"/>
            </w:rPr>
            <w:instrText> TOC \z \o "1-3" \u \h</w:instrText>
          </w:r>
          <w:r>
            <w:rPr>
              <w:webHidden/>
              <w:rStyle w:val="IndexLink"/>
            </w:rPr>
            <w:fldChar w:fldCharType="separate"/>
          </w:r>
          <w:hyperlink w:anchor="_Toc48895912">
            <w:r>
              <w:rPr>
                <w:webHidden/>
                <w:rStyle w:val="IndexLink"/>
              </w:rPr>
              <w:t>1</w:t>
            </w:r>
            <w:r>
              <w:rPr>
                <w:rStyle w:val="IndexLink"/>
                <w:rFonts w:eastAsia="ＭＳ Ｐゴシック" w:cs="Arial" w:cstheme="minorBidi" w:eastAsiaTheme="minorEastAsia"/>
                <w:b w:val="false"/>
                <w:color w:val="auto"/>
                <w:sz w:val="22"/>
                <w:szCs w:val="22"/>
                <w:lang w:eastAsia="en-GB"/>
              </w:rPr>
              <w:tab/>
            </w:r>
            <w:r>
              <w:rPr>
                <w:rStyle w:val="IndexLink"/>
              </w:rPr>
              <w:t>Introduction</w:t>
            </w:r>
            <w:r>
              <w:rPr>
                <w:webHidden/>
              </w:rPr>
              <w:fldChar w:fldCharType="begin"/>
            </w:r>
            <w:r>
              <w:rPr>
                <w:webHidden/>
              </w:rPr>
              <w:instrText>PAGEREF _Toc48895912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13">
            <w:r>
              <w:rPr>
                <w:webHidden/>
                <w:rStyle w:val="IndexLink"/>
              </w:rPr>
              <w:t>1.1</w:t>
            </w:r>
            <w:r>
              <w:rPr>
                <w:rStyle w:val="IndexLink"/>
                <w:rFonts w:eastAsia="ＭＳ Ｐゴシック" w:cs="Arial" w:cstheme="minorBidi" w:eastAsiaTheme="minorEastAsia"/>
                <w:color w:val="auto"/>
                <w:sz w:val="22"/>
                <w:szCs w:val="22"/>
                <w:lang w:eastAsia="en-GB"/>
              </w:rPr>
              <w:tab/>
            </w:r>
            <w:r>
              <w:rPr>
                <w:rStyle w:val="IndexLink"/>
              </w:rPr>
              <w:t>Document Purpose</w:t>
            </w:r>
            <w:r>
              <w:rPr>
                <w:webHidden/>
              </w:rPr>
              <w:fldChar w:fldCharType="begin"/>
            </w:r>
            <w:r>
              <w:rPr>
                <w:webHidden/>
              </w:rPr>
              <w:instrText>PAGEREF _Toc48895913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14">
            <w:r>
              <w:rPr>
                <w:webHidden/>
                <w:rStyle w:val="IndexLink"/>
              </w:rPr>
              <w:t>1.2</w:t>
            </w:r>
            <w:r>
              <w:rPr>
                <w:rStyle w:val="IndexLink"/>
                <w:rFonts w:eastAsia="ＭＳ Ｐゴシック" w:cs="Arial" w:cstheme="minorBidi" w:eastAsiaTheme="minorEastAsia"/>
                <w:color w:val="auto"/>
                <w:sz w:val="22"/>
                <w:szCs w:val="22"/>
                <w:lang w:eastAsia="en-GB"/>
              </w:rPr>
              <w:tab/>
            </w:r>
            <w:r>
              <w:rPr>
                <w:rStyle w:val="IndexLink"/>
              </w:rPr>
              <w:t>Audience</w:t>
            </w:r>
            <w:r>
              <w:rPr>
                <w:webHidden/>
              </w:rPr>
              <w:fldChar w:fldCharType="begin"/>
            </w:r>
            <w:r>
              <w:rPr>
                <w:webHidden/>
              </w:rPr>
              <w:instrText>PAGEREF _Toc48895914 \h</w:instrText>
            </w:r>
            <w:r>
              <w:rPr>
                <w:webHidden/>
              </w:rPr>
              <w:fldChar w:fldCharType="separate"/>
            </w:r>
            <w:r>
              <w:rPr>
                <w:rStyle w:val="IndexLink"/>
                <w:vanish w:val="false"/>
              </w:rPr>
              <w:tab/>
              <w:t>8</w:t>
            </w:r>
            <w:r>
              <w:rPr>
                <w:webHidden/>
              </w:rPr>
              <w:fldChar w:fldCharType="end"/>
            </w:r>
          </w:hyperlink>
        </w:p>
        <w:p>
          <w:pPr>
            <w:pStyle w:val="Contents1"/>
            <w:rPr>
              <w:rFonts w:ascii="Arial" w:hAnsi="Arial" w:eastAsia="ＭＳ Ｐゴシック" w:cs="Arial" w:asciiTheme="minorHAnsi" w:cstheme="minorBidi" w:eastAsiaTheme="minorEastAsia" w:hAnsiTheme="minorHAnsi"/>
              <w:b w:val="false"/>
              <w:b w:val="false"/>
              <w:color w:val="auto"/>
              <w:sz w:val="22"/>
              <w:szCs w:val="22"/>
              <w:lang w:eastAsia="en-GB"/>
            </w:rPr>
          </w:pPr>
          <w:hyperlink w:anchor="_Toc48895915">
            <w:r>
              <w:rPr>
                <w:webHidden/>
                <w:rStyle w:val="IndexLink"/>
              </w:rPr>
              <w:t>2</w:t>
            </w:r>
            <w:r>
              <w:rPr>
                <w:rStyle w:val="IndexLink"/>
                <w:rFonts w:eastAsia="ＭＳ Ｐゴシック" w:cs="Arial" w:cstheme="minorBidi" w:eastAsiaTheme="minorEastAsia"/>
                <w:b w:val="false"/>
                <w:color w:val="auto"/>
                <w:sz w:val="22"/>
                <w:szCs w:val="22"/>
                <w:lang w:eastAsia="en-GB"/>
              </w:rPr>
              <w:tab/>
            </w:r>
            <w:r>
              <w:rPr>
                <w:rStyle w:val="IndexLink"/>
              </w:rPr>
              <w:t>National Event Management Service</w:t>
            </w:r>
            <w:r>
              <w:rPr>
                <w:webHidden/>
              </w:rPr>
              <w:fldChar w:fldCharType="begin"/>
            </w:r>
            <w:r>
              <w:rPr>
                <w:webHidden/>
              </w:rPr>
              <w:instrText>PAGEREF _Toc48895915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16">
            <w:r>
              <w:rPr>
                <w:webHidden/>
                <w:rStyle w:val="IndexLink"/>
              </w:rPr>
              <w:t>2.1</w:t>
            </w:r>
            <w:r>
              <w:rPr>
                <w:rStyle w:val="IndexLink"/>
                <w:rFonts w:eastAsia="ＭＳ Ｐゴシック" w:cs="Arial" w:cstheme="minorBidi" w:eastAsiaTheme="minorEastAsia"/>
                <w:color w:val="auto"/>
                <w:sz w:val="22"/>
                <w:szCs w:val="22"/>
                <w:lang w:eastAsia="en-GB"/>
              </w:rPr>
              <w:tab/>
            </w:r>
            <w:r>
              <w:rPr>
                <w:rStyle w:val="IndexLink"/>
              </w:rPr>
              <w:t>Overview</w:t>
            </w:r>
            <w:r>
              <w:rPr>
                <w:webHidden/>
              </w:rPr>
              <w:fldChar w:fldCharType="begin"/>
            </w:r>
            <w:r>
              <w:rPr>
                <w:webHidden/>
              </w:rPr>
              <w:instrText>PAGEREF _Toc48895916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17">
            <w:r>
              <w:rPr>
                <w:webHidden/>
                <w:rStyle w:val="IndexLink"/>
              </w:rPr>
              <w:t>2.1.1</w:t>
            </w:r>
            <w:r>
              <w:rPr>
                <w:rStyle w:val="IndexLink"/>
                <w:color w:val="auto"/>
                <w:sz w:val="22"/>
                <w:lang w:val="en-GB" w:eastAsia="en-GB"/>
              </w:rPr>
              <w:tab/>
            </w:r>
            <w:r>
              <w:rPr>
                <w:rStyle w:val="IndexLink"/>
              </w:rPr>
              <w:t>NEMS Vision</w:t>
            </w:r>
            <w:r>
              <w:rPr>
                <w:webHidden/>
              </w:rPr>
              <w:fldChar w:fldCharType="begin"/>
            </w:r>
            <w:r>
              <w:rPr>
                <w:webHidden/>
              </w:rPr>
              <w:instrText>PAGEREF _Toc48895917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18">
            <w:r>
              <w:rPr>
                <w:webHidden/>
                <w:rStyle w:val="IndexLink"/>
              </w:rPr>
              <w:t>2.1.2</w:t>
            </w:r>
            <w:r>
              <w:rPr>
                <w:rStyle w:val="IndexLink"/>
                <w:color w:val="auto"/>
                <w:sz w:val="22"/>
                <w:lang w:val="en-GB" w:eastAsia="en-GB"/>
              </w:rPr>
              <w:tab/>
            </w:r>
            <w:r>
              <w:rPr>
                <w:rStyle w:val="IndexLink"/>
              </w:rPr>
              <w:t>Publish / Subscribe Pattern</w:t>
            </w:r>
            <w:r>
              <w:rPr>
                <w:webHidden/>
              </w:rPr>
              <w:fldChar w:fldCharType="begin"/>
            </w:r>
            <w:r>
              <w:rPr>
                <w:webHidden/>
              </w:rPr>
              <w:instrText>PAGEREF _Toc48895918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19">
            <w:r>
              <w:rPr>
                <w:webHidden/>
                <w:rStyle w:val="IndexLink"/>
              </w:rPr>
              <w:t>2.2</w:t>
            </w:r>
            <w:r>
              <w:rPr>
                <w:rStyle w:val="IndexLink"/>
                <w:rFonts w:eastAsia="ＭＳ Ｐゴシック" w:cs="Arial" w:cstheme="minorBidi" w:eastAsiaTheme="minorEastAsia"/>
                <w:color w:val="auto"/>
                <w:sz w:val="22"/>
                <w:szCs w:val="22"/>
                <w:lang w:eastAsia="en-GB"/>
              </w:rPr>
              <w:tab/>
            </w:r>
            <w:r>
              <w:rPr>
                <w:rStyle w:val="IndexLink"/>
              </w:rPr>
              <w:t>NEMS Data Flow</w:t>
            </w:r>
            <w:r>
              <w:rPr>
                <w:webHidden/>
              </w:rPr>
              <w:fldChar w:fldCharType="begin"/>
            </w:r>
            <w:r>
              <w:rPr>
                <w:webHidden/>
              </w:rPr>
              <w:instrText>PAGEREF _Toc48895919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20">
            <w:r>
              <w:rPr>
                <w:webHidden/>
                <w:rStyle w:val="IndexLink"/>
              </w:rPr>
              <w:t>2.3</w:t>
            </w:r>
            <w:r>
              <w:rPr>
                <w:rStyle w:val="IndexLink"/>
                <w:rFonts w:eastAsia="ＭＳ Ｐゴシック" w:cs="Arial" w:cstheme="minorBidi" w:eastAsiaTheme="minorEastAsia"/>
                <w:color w:val="auto"/>
                <w:sz w:val="22"/>
                <w:szCs w:val="22"/>
                <w:lang w:eastAsia="en-GB"/>
              </w:rPr>
              <w:tab/>
            </w:r>
            <w:r>
              <w:rPr>
                <w:rStyle w:val="IndexLink"/>
              </w:rPr>
              <w:t>NEMS Eligibility</w:t>
            </w:r>
            <w:r>
              <w:rPr>
                <w:webHidden/>
              </w:rPr>
              <w:fldChar w:fldCharType="begin"/>
            </w:r>
            <w:r>
              <w:rPr>
                <w:webHidden/>
              </w:rPr>
              <w:instrText>PAGEREF _Toc48895920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21">
            <w:r>
              <w:rPr>
                <w:webHidden/>
                <w:rStyle w:val="IndexLink"/>
              </w:rPr>
              <w:t>2.4</w:t>
            </w:r>
            <w:r>
              <w:rPr>
                <w:rStyle w:val="IndexLink"/>
                <w:rFonts w:eastAsia="ＭＳ Ｐゴシック" w:cs="Arial" w:cstheme="minorBidi" w:eastAsiaTheme="minorEastAsia"/>
                <w:color w:val="auto"/>
                <w:sz w:val="22"/>
                <w:szCs w:val="22"/>
                <w:lang w:eastAsia="en-GB"/>
              </w:rPr>
              <w:tab/>
            </w:r>
            <w:r>
              <w:rPr>
                <w:rStyle w:val="IndexLink"/>
              </w:rPr>
              <w:t>NEMS Principles</w:t>
            </w:r>
            <w:r>
              <w:rPr>
                <w:webHidden/>
              </w:rPr>
              <w:fldChar w:fldCharType="begin"/>
            </w:r>
            <w:r>
              <w:rPr>
                <w:webHidden/>
              </w:rPr>
              <w:instrText>PAGEREF _Toc48895921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22">
            <w:r>
              <w:rPr>
                <w:webHidden/>
                <w:rStyle w:val="IndexLink"/>
              </w:rPr>
              <w:t>2.5</w:t>
            </w:r>
            <w:r>
              <w:rPr>
                <w:rStyle w:val="IndexLink"/>
                <w:rFonts w:eastAsia="ＭＳ Ｐゴシック" w:cs="Arial" w:cstheme="minorBidi" w:eastAsiaTheme="minorEastAsia"/>
                <w:color w:val="auto"/>
                <w:sz w:val="22"/>
                <w:szCs w:val="22"/>
                <w:lang w:eastAsia="en-GB"/>
              </w:rPr>
              <w:tab/>
            </w:r>
            <w:r>
              <w:rPr>
                <w:rStyle w:val="IndexLink"/>
              </w:rPr>
              <w:t>NEMS Prerequisites</w:t>
            </w:r>
            <w:r>
              <w:rPr>
                <w:webHidden/>
              </w:rPr>
              <w:fldChar w:fldCharType="begin"/>
            </w:r>
            <w:r>
              <w:rPr>
                <w:webHidden/>
              </w:rPr>
              <w:instrText>PAGEREF _Toc48895922 \h</w:instrText>
            </w:r>
            <w:r>
              <w:rPr>
                <w:webHidden/>
              </w:rPr>
              <w:fldChar w:fldCharType="separate"/>
            </w:r>
            <w:r>
              <w:rPr>
                <w:rStyle w:val="IndexLink"/>
                <w:vanish w:val="false"/>
              </w:rPr>
              <w:tab/>
              <w:t>11</w:t>
            </w:r>
            <w:r>
              <w:rPr>
                <w:webHidden/>
              </w:rPr>
              <w:fldChar w:fldCharType="end"/>
            </w:r>
          </w:hyperlink>
        </w:p>
        <w:p>
          <w:pPr>
            <w:pStyle w:val="Contents1"/>
            <w:rPr>
              <w:rFonts w:ascii="Arial" w:hAnsi="Arial" w:eastAsia="ＭＳ Ｐゴシック" w:cs="Arial" w:asciiTheme="minorHAnsi" w:cstheme="minorBidi" w:eastAsiaTheme="minorEastAsia" w:hAnsiTheme="minorHAnsi"/>
              <w:b w:val="false"/>
              <w:b w:val="false"/>
              <w:color w:val="auto"/>
              <w:sz w:val="22"/>
              <w:szCs w:val="22"/>
              <w:lang w:eastAsia="en-GB"/>
            </w:rPr>
          </w:pPr>
          <w:hyperlink w:anchor="_Toc48895923">
            <w:r>
              <w:rPr>
                <w:webHidden/>
                <w:rStyle w:val="IndexLink"/>
              </w:rPr>
              <w:t>3</w:t>
            </w:r>
            <w:r>
              <w:rPr>
                <w:rStyle w:val="IndexLink"/>
                <w:rFonts w:eastAsia="ＭＳ Ｐゴシック" w:cs="Arial" w:cstheme="minorBidi" w:eastAsiaTheme="minorEastAsia"/>
                <w:b w:val="false"/>
                <w:color w:val="auto"/>
                <w:sz w:val="22"/>
                <w:szCs w:val="22"/>
                <w:lang w:eastAsia="en-GB"/>
              </w:rPr>
              <w:tab/>
            </w:r>
            <w:r>
              <w:rPr>
                <w:rStyle w:val="IndexLink"/>
              </w:rPr>
              <w:t>NEMS Functionality</w:t>
            </w:r>
            <w:r>
              <w:rPr>
                <w:webHidden/>
              </w:rPr>
              <w:fldChar w:fldCharType="begin"/>
            </w:r>
            <w:r>
              <w:rPr>
                <w:webHidden/>
              </w:rPr>
              <w:instrText>PAGEREF _Toc48895923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24">
            <w:r>
              <w:rPr>
                <w:webHidden/>
                <w:rStyle w:val="IndexLink"/>
              </w:rPr>
              <w:t>3.1</w:t>
            </w:r>
            <w:r>
              <w:rPr>
                <w:rStyle w:val="IndexLink"/>
                <w:rFonts w:eastAsia="ＭＳ Ｐゴシック" w:cs="Arial" w:cstheme="minorBidi" w:eastAsiaTheme="minorEastAsia"/>
                <w:color w:val="auto"/>
                <w:sz w:val="22"/>
                <w:szCs w:val="22"/>
                <w:lang w:eastAsia="en-GB"/>
              </w:rPr>
              <w:tab/>
            </w:r>
            <w:r>
              <w:rPr>
                <w:rStyle w:val="IndexLink"/>
              </w:rPr>
              <w:t>Overview</w:t>
            </w:r>
            <w:r>
              <w:rPr>
                <w:webHidden/>
              </w:rPr>
              <w:fldChar w:fldCharType="begin"/>
            </w:r>
            <w:r>
              <w:rPr>
                <w:webHidden/>
              </w:rPr>
              <w:instrText>PAGEREF _Toc48895924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25">
            <w:r>
              <w:rPr>
                <w:webHidden/>
                <w:rStyle w:val="IndexLink"/>
              </w:rPr>
              <w:t>3.2</w:t>
            </w:r>
            <w:r>
              <w:rPr>
                <w:rStyle w:val="IndexLink"/>
                <w:rFonts w:eastAsia="ＭＳ Ｐゴシック" w:cs="Arial" w:cstheme="minorBidi" w:eastAsiaTheme="minorEastAsia"/>
                <w:color w:val="auto"/>
                <w:sz w:val="22"/>
                <w:szCs w:val="22"/>
                <w:lang w:eastAsia="en-GB"/>
              </w:rPr>
              <w:tab/>
            </w:r>
            <w:r>
              <w:rPr>
                <w:rStyle w:val="IndexLink"/>
              </w:rPr>
              <w:t>Generic Event Messages</w:t>
            </w:r>
            <w:r>
              <w:rPr>
                <w:webHidden/>
              </w:rPr>
              <w:fldChar w:fldCharType="begin"/>
            </w:r>
            <w:r>
              <w:rPr>
                <w:webHidden/>
              </w:rPr>
              <w:instrText>PAGEREF _Toc48895925 \h</w:instrText>
            </w:r>
            <w:r>
              <w:rPr>
                <w:webHidden/>
              </w:rPr>
              <w:fldChar w:fldCharType="separate"/>
            </w:r>
            <w:r>
              <w:rPr>
                <w:rStyle w:val="IndexLink"/>
                <w:vanish w:val="false"/>
              </w:rPr>
              <w:tab/>
              <w:t>13</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26">
            <w:r>
              <w:rPr>
                <w:webHidden/>
                <w:rStyle w:val="IndexLink"/>
              </w:rPr>
              <w:t>3.2.1</w:t>
            </w:r>
            <w:r>
              <w:rPr>
                <w:rStyle w:val="IndexLink"/>
                <w:color w:val="auto"/>
                <w:sz w:val="22"/>
                <w:lang w:val="en-GB" w:eastAsia="en-GB"/>
              </w:rPr>
              <w:tab/>
            </w:r>
            <w:r>
              <w:rPr>
                <w:rStyle w:val="IndexLink"/>
              </w:rPr>
              <w:t>Event Maturity</w:t>
            </w:r>
            <w:r>
              <w:rPr>
                <w:webHidden/>
              </w:rPr>
              <w:fldChar w:fldCharType="begin"/>
            </w:r>
            <w:r>
              <w:rPr>
                <w:webHidden/>
              </w:rPr>
              <w:instrText>PAGEREF _Toc48895926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27">
            <w:r>
              <w:rPr>
                <w:webHidden/>
                <w:rStyle w:val="IndexLink"/>
              </w:rPr>
              <w:t>3.2.2</w:t>
            </w:r>
            <w:r>
              <w:rPr>
                <w:rStyle w:val="IndexLink"/>
                <w:color w:val="auto"/>
                <w:sz w:val="22"/>
                <w:lang w:val="en-GB" w:eastAsia="en-GB"/>
              </w:rPr>
              <w:tab/>
            </w:r>
            <w:r>
              <w:rPr>
                <w:rStyle w:val="IndexLink"/>
              </w:rPr>
              <w:t>Supported Generic Event Messages</w:t>
            </w:r>
            <w:r>
              <w:rPr>
                <w:webHidden/>
              </w:rPr>
              <w:fldChar w:fldCharType="begin"/>
            </w:r>
            <w:r>
              <w:rPr>
                <w:webHidden/>
              </w:rPr>
              <w:instrText>PAGEREF _Toc48895927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28">
            <w:r>
              <w:rPr>
                <w:webHidden/>
                <w:rStyle w:val="IndexLink"/>
              </w:rPr>
              <w:t>3.2.3</w:t>
            </w:r>
            <w:r>
              <w:rPr>
                <w:rStyle w:val="IndexLink"/>
                <w:color w:val="auto"/>
                <w:sz w:val="22"/>
                <w:lang w:val="en-GB" w:eastAsia="en-GB"/>
              </w:rPr>
              <w:tab/>
            </w:r>
            <w:r>
              <w:rPr>
                <w:rStyle w:val="IndexLink"/>
              </w:rPr>
              <w:t>Digital Child Health Event Messages</w:t>
            </w:r>
            <w:r>
              <w:rPr>
                <w:webHidden/>
              </w:rPr>
              <w:fldChar w:fldCharType="begin"/>
            </w:r>
            <w:r>
              <w:rPr>
                <w:webHidden/>
              </w:rPr>
              <w:instrText>PAGEREF _Toc48895928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29">
            <w:r>
              <w:rPr>
                <w:webHidden/>
                <w:rStyle w:val="IndexLink"/>
              </w:rPr>
              <w:t>3.3</w:t>
            </w:r>
            <w:r>
              <w:rPr>
                <w:rStyle w:val="IndexLink"/>
                <w:rFonts w:eastAsia="ＭＳ Ｐゴシック" w:cs="Arial" w:cstheme="minorBidi" w:eastAsiaTheme="minorEastAsia"/>
                <w:color w:val="auto"/>
                <w:sz w:val="22"/>
                <w:szCs w:val="22"/>
                <w:lang w:eastAsia="en-GB"/>
              </w:rPr>
              <w:tab/>
            </w:r>
            <w:r>
              <w:rPr>
                <w:rStyle w:val="IndexLink"/>
              </w:rPr>
              <w:t>Publishing</w:t>
            </w:r>
            <w:r>
              <w:rPr>
                <w:webHidden/>
              </w:rPr>
              <w:fldChar w:fldCharType="begin"/>
            </w:r>
            <w:r>
              <w:rPr>
                <w:webHidden/>
              </w:rPr>
              <w:instrText>PAGEREF _Toc48895929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30">
            <w:r>
              <w:rPr>
                <w:webHidden/>
                <w:rStyle w:val="IndexLink"/>
              </w:rPr>
              <w:t>3.4</w:t>
            </w:r>
            <w:r>
              <w:rPr>
                <w:rStyle w:val="IndexLink"/>
                <w:rFonts w:eastAsia="ＭＳ Ｐゴシック" w:cs="Arial" w:cstheme="minorBidi" w:eastAsiaTheme="minorEastAsia"/>
                <w:color w:val="auto"/>
                <w:sz w:val="22"/>
                <w:szCs w:val="22"/>
                <w:lang w:eastAsia="en-GB"/>
              </w:rPr>
              <w:tab/>
            </w:r>
            <w:r>
              <w:rPr>
                <w:rStyle w:val="IndexLink"/>
              </w:rPr>
              <w:t>Subscribing</w:t>
            </w:r>
            <w:r>
              <w:rPr>
                <w:webHidden/>
              </w:rPr>
              <w:fldChar w:fldCharType="begin"/>
            </w:r>
            <w:r>
              <w:rPr>
                <w:webHidden/>
              </w:rPr>
              <w:instrText>PAGEREF _Toc48895930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31">
            <w:r>
              <w:rPr>
                <w:webHidden/>
                <w:rStyle w:val="IndexLink"/>
              </w:rPr>
              <w:t>3.5</w:t>
            </w:r>
            <w:r>
              <w:rPr>
                <w:rStyle w:val="IndexLink"/>
                <w:rFonts w:eastAsia="ＭＳ Ｐゴシック" w:cs="Arial" w:cstheme="minorBidi" w:eastAsiaTheme="minorEastAsia"/>
                <w:color w:val="auto"/>
                <w:sz w:val="22"/>
                <w:szCs w:val="22"/>
                <w:lang w:eastAsia="en-GB"/>
              </w:rPr>
              <w:tab/>
            </w:r>
            <w:r>
              <w:rPr>
                <w:rStyle w:val="IndexLink"/>
              </w:rPr>
              <w:t>Subscriptions Management</w:t>
            </w:r>
            <w:r>
              <w:rPr>
                <w:webHidden/>
              </w:rPr>
              <w:fldChar w:fldCharType="begin"/>
            </w:r>
            <w:r>
              <w:rPr>
                <w:webHidden/>
              </w:rPr>
              <w:instrText>PAGEREF _Toc48895931 \h</w:instrText>
            </w:r>
            <w:r>
              <w:rPr>
                <w:webHidden/>
              </w:rPr>
              <w:fldChar w:fldCharType="separate"/>
            </w:r>
            <w:r>
              <w:rPr>
                <w:rStyle w:val="IndexLink"/>
                <w:vanish w:val="false"/>
              </w:rPr>
              <w:tab/>
              <w:t>16</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32">
            <w:r>
              <w:rPr>
                <w:webHidden/>
                <w:rStyle w:val="IndexLink"/>
                <w:lang w:val="en"/>
              </w:rPr>
              <w:t>3.5.1</w:t>
            </w:r>
            <w:r>
              <w:rPr>
                <w:rStyle w:val="IndexLink"/>
                <w:color w:val="auto"/>
                <w:sz w:val="22"/>
                <w:lang w:val="en-GB" w:eastAsia="en-GB"/>
              </w:rPr>
              <w:tab/>
            </w:r>
            <w:r>
              <w:rPr>
                <w:rStyle w:val="IndexLink"/>
                <w:lang w:val="en"/>
              </w:rPr>
              <w:t>Explicit Subscriptions</w:t>
            </w:r>
            <w:r>
              <w:rPr>
                <w:webHidden/>
              </w:rPr>
              <w:fldChar w:fldCharType="begin"/>
            </w:r>
            <w:r>
              <w:rPr>
                <w:webHidden/>
              </w:rPr>
              <w:instrText>PAGEREF _Toc48895932 \h</w:instrText>
            </w:r>
            <w:r>
              <w:rPr>
                <w:webHidden/>
              </w:rPr>
              <w:fldChar w:fldCharType="separate"/>
            </w:r>
            <w:r>
              <w:rPr>
                <w:rStyle w:val="IndexLink"/>
                <w:vanish w:val="false"/>
              </w:rPr>
              <w:tab/>
              <w:t>16</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33">
            <w:r>
              <w:rPr>
                <w:webHidden/>
                <w:rStyle w:val="IndexLink"/>
                <w:lang w:val="en"/>
              </w:rPr>
              <w:t>3.5.2</w:t>
            </w:r>
            <w:r>
              <w:rPr>
                <w:rStyle w:val="IndexLink"/>
                <w:color w:val="auto"/>
                <w:sz w:val="22"/>
                <w:lang w:val="en-GB" w:eastAsia="en-GB"/>
              </w:rPr>
              <w:tab/>
            </w:r>
            <w:r>
              <w:rPr>
                <w:rStyle w:val="IndexLink"/>
                <w:lang w:val="en"/>
              </w:rPr>
              <w:t>Rule-Based (Generic) Subscriptions</w:t>
            </w:r>
            <w:r>
              <w:rPr>
                <w:webHidden/>
              </w:rPr>
              <w:fldChar w:fldCharType="begin"/>
            </w:r>
            <w:r>
              <w:rPr>
                <w:webHidden/>
              </w:rPr>
              <w:instrText>PAGEREF _Toc48895933 \h</w:instrText>
            </w:r>
            <w:r>
              <w:rPr>
                <w:webHidden/>
              </w:rPr>
              <w:fldChar w:fldCharType="separate"/>
            </w:r>
            <w:r>
              <w:rPr>
                <w:rStyle w:val="IndexLink"/>
                <w:vanish w:val="false"/>
              </w:rPr>
              <w:tab/>
              <w:t>17</w:t>
            </w:r>
            <w:r>
              <w:rPr>
                <w:webHidden/>
              </w:rPr>
              <w:fldChar w:fldCharType="end"/>
            </w:r>
          </w:hyperlink>
        </w:p>
        <w:p>
          <w:pPr>
            <w:pStyle w:val="Contents1"/>
            <w:rPr>
              <w:rFonts w:ascii="Arial" w:hAnsi="Arial" w:eastAsia="ＭＳ Ｐゴシック" w:cs="Arial" w:asciiTheme="minorHAnsi" w:cstheme="minorBidi" w:eastAsiaTheme="minorEastAsia" w:hAnsiTheme="minorHAnsi"/>
              <w:b w:val="false"/>
              <w:b w:val="false"/>
              <w:color w:val="auto"/>
              <w:sz w:val="22"/>
              <w:szCs w:val="22"/>
              <w:lang w:eastAsia="en-GB"/>
            </w:rPr>
          </w:pPr>
          <w:hyperlink w:anchor="_Toc48895934">
            <w:r>
              <w:rPr>
                <w:webHidden/>
                <w:rStyle w:val="IndexLink"/>
              </w:rPr>
              <w:t>4</w:t>
            </w:r>
            <w:r>
              <w:rPr>
                <w:rStyle w:val="IndexLink"/>
                <w:rFonts w:eastAsia="ＭＳ Ｐゴシック" w:cs="Arial" w:cstheme="minorBidi" w:eastAsiaTheme="minorEastAsia"/>
                <w:b w:val="false"/>
                <w:color w:val="auto"/>
                <w:sz w:val="22"/>
                <w:szCs w:val="22"/>
                <w:lang w:eastAsia="en-GB"/>
              </w:rPr>
              <w:tab/>
            </w:r>
            <w:r>
              <w:rPr>
                <w:rStyle w:val="IndexLink"/>
              </w:rPr>
              <w:t>Testing and Technical Conformance</w:t>
            </w:r>
            <w:r>
              <w:rPr>
                <w:webHidden/>
              </w:rPr>
              <w:fldChar w:fldCharType="begin"/>
            </w:r>
            <w:r>
              <w:rPr>
                <w:webHidden/>
              </w:rPr>
              <w:instrText>PAGEREF _Toc48895934 \h</w:instrText>
            </w:r>
            <w:r>
              <w:rPr>
                <w:webHidden/>
              </w:rPr>
              <w:fldChar w:fldCharType="separate"/>
            </w:r>
            <w:r>
              <w:rPr>
                <w:rStyle w:val="IndexLink"/>
                <w:vanish w:val="false"/>
              </w:rPr>
              <w:tab/>
              <w:t>19</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35">
            <w:r>
              <w:rPr>
                <w:webHidden/>
                <w:rStyle w:val="IndexLink"/>
              </w:rPr>
              <w:t>4.1</w:t>
            </w:r>
            <w:r>
              <w:rPr>
                <w:rStyle w:val="IndexLink"/>
                <w:rFonts w:eastAsia="ＭＳ Ｐゴシック" w:cs="Arial" w:cstheme="minorBidi" w:eastAsiaTheme="minorEastAsia"/>
                <w:color w:val="auto"/>
                <w:sz w:val="22"/>
                <w:szCs w:val="22"/>
                <w:lang w:eastAsia="en-GB"/>
              </w:rPr>
              <w:tab/>
            </w:r>
            <w:r>
              <w:rPr>
                <w:rStyle w:val="IndexLink"/>
              </w:rPr>
              <w:t>Technical Conformance Testing Guidance</w:t>
            </w:r>
            <w:r>
              <w:rPr>
                <w:webHidden/>
              </w:rPr>
              <w:fldChar w:fldCharType="begin"/>
            </w:r>
            <w:r>
              <w:rPr>
                <w:webHidden/>
              </w:rPr>
              <w:instrText>PAGEREF _Toc48895935 \h</w:instrText>
            </w:r>
            <w:r>
              <w:rPr>
                <w:webHidden/>
              </w:rPr>
              <w:fldChar w:fldCharType="separate"/>
            </w:r>
            <w:r>
              <w:rPr>
                <w:rStyle w:val="IndexLink"/>
                <w:vanish w:val="false"/>
              </w:rPr>
              <w:tab/>
              <w:t>19</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36">
            <w:r>
              <w:rPr>
                <w:webHidden/>
                <w:rStyle w:val="IndexLink"/>
              </w:rPr>
              <w:t>4.2</w:t>
            </w:r>
            <w:r>
              <w:rPr>
                <w:rStyle w:val="IndexLink"/>
                <w:rFonts w:eastAsia="ＭＳ Ｐゴシック" w:cs="Arial" w:cstheme="minorBidi" w:eastAsiaTheme="minorEastAsia"/>
                <w:color w:val="auto"/>
                <w:sz w:val="22"/>
                <w:szCs w:val="22"/>
                <w:lang w:eastAsia="en-GB"/>
              </w:rPr>
              <w:tab/>
            </w:r>
            <w:r>
              <w:rPr>
                <w:rStyle w:val="IndexLink"/>
              </w:rPr>
              <w:t>NEMS Assurance Stages</w:t>
            </w:r>
            <w:r>
              <w:rPr>
                <w:webHidden/>
              </w:rPr>
              <w:fldChar w:fldCharType="begin"/>
            </w:r>
            <w:r>
              <w:rPr>
                <w:webHidden/>
              </w:rPr>
              <w:instrText>PAGEREF _Toc48895936 \h</w:instrText>
            </w:r>
            <w:r>
              <w:rPr>
                <w:webHidden/>
              </w:rPr>
              <w:fldChar w:fldCharType="separate"/>
            </w:r>
            <w:r>
              <w:rPr>
                <w:rStyle w:val="IndexLink"/>
                <w:vanish w:val="false"/>
              </w:rPr>
              <w:tab/>
              <w:t>19</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37">
            <w:r>
              <w:rPr>
                <w:webHidden/>
                <w:rStyle w:val="IndexLink"/>
              </w:rPr>
              <w:t>4.3</w:t>
            </w:r>
            <w:r>
              <w:rPr>
                <w:rStyle w:val="IndexLink"/>
                <w:rFonts w:eastAsia="ＭＳ Ｐゴシック" w:cs="Arial" w:cstheme="minorBidi" w:eastAsiaTheme="minorEastAsia"/>
                <w:color w:val="auto"/>
                <w:sz w:val="22"/>
                <w:szCs w:val="22"/>
                <w:lang w:eastAsia="en-GB"/>
              </w:rPr>
              <w:tab/>
            </w:r>
            <w:r>
              <w:rPr>
                <w:rStyle w:val="IndexLink"/>
              </w:rPr>
              <w:t>Connecting to the NHS Digital Integration (INT) Environment</w:t>
            </w:r>
            <w:r>
              <w:rPr>
                <w:webHidden/>
              </w:rPr>
              <w:fldChar w:fldCharType="begin"/>
            </w:r>
            <w:r>
              <w:rPr>
                <w:webHidden/>
              </w:rPr>
              <w:instrText>PAGEREF _Toc48895937 \h</w:instrText>
            </w:r>
            <w:r>
              <w:rPr>
                <w:webHidden/>
              </w:rPr>
              <w:fldChar w:fldCharType="separate"/>
            </w:r>
            <w:r>
              <w:rPr>
                <w:rStyle w:val="IndexLink"/>
                <w:vanish w:val="false"/>
              </w:rPr>
              <w:tab/>
              <w:t>21</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38">
            <w:r>
              <w:rPr>
                <w:webHidden/>
                <w:rStyle w:val="IndexLink"/>
              </w:rPr>
              <w:t>4.3.1</w:t>
            </w:r>
            <w:r>
              <w:rPr>
                <w:rStyle w:val="IndexLink"/>
                <w:color w:val="auto"/>
                <w:sz w:val="22"/>
                <w:lang w:val="en-GB" w:eastAsia="en-GB"/>
              </w:rPr>
              <w:tab/>
            </w:r>
            <w:r>
              <w:rPr>
                <w:rStyle w:val="IndexLink"/>
              </w:rPr>
              <w:t>Instructions for End Point Registration (EPR) in the INT environment</w:t>
            </w:r>
            <w:r>
              <w:rPr>
                <w:webHidden/>
              </w:rPr>
              <w:fldChar w:fldCharType="begin"/>
            </w:r>
            <w:r>
              <w:rPr>
                <w:webHidden/>
              </w:rPr>
              <w:instrText>PAGEREF _Toc48895938 \h</w:instrText>
            </w:r>
            <w:r>
              <w:rPr>
                <w:webHidden/>
              </w:rPr>
              <w:fldChar w:fldCharType="separate"/>
            </w:r>
            <w:r>
              <w:rPr>
                <w:rStyle w:val="IndexLink"/>
                <w:vanish w:val="false"/>
              </w:rPr>
              <w:tab/>
              <w:t>21</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39">
            <w:r>
              <w:rPr>
                <w:webHidden/>
                <w:rStyle w:val="IndexLink"/>
              </w:rPr>
              <w:t>4.3.2</w:t>
            </w:r>
            <w:r>
              <w:rPr>
                <w:rStyle w:val="IndexLink"/>
                <w:color w:val="auto"/>
                <w:sz w:val="22"/>
                <w:lang w:val="en-GB" w:eastAsia="en-GB"/>
              </w:rPr>
              <w:tab/>
            </w:r>
            <w:r>
              <w:rPr>
                <w:rStyle w:val="IndexLink"/>
              </w:rPr>
              <w:t>INT Environment Connection Details for NEMS</w:t>
            </w:r>
            <w:r>
              <w:rPr>
                <w:webHidden/>
              </w:rPr>
              <w:fldChar w:fldCharType="begin"/>
            </w:r>
            <w:r>
              <w:rPr>
                <w:webHidden/>
              </w:rPr>
              <w:instrText>PAGEREF _Toc48895939 \h</w:instrText>
            </w:r>
            <w:r>
              <w:rPr>
                <w:webHidden/>
              </w:rPr>
              <w:fldChar w:fldCharType="separate"/>
            </w:r>
            <w:r>
              <w:rPr>
                <w:rStyle w:val="IndexLink"/>
                <w:vanish w:val="false"/>
              </w:rPr>
              <w:tab/>
              <w:t>22</w:t>
            </w:r>
            <w:r>
              <w:rPr>
                <w:webHidden/>
              </w:rPr>
              <w:fldChar w:fldCharType="end"/>
            </w:r>
          </w:hyperlink>
        </w:p>
        <w:p>
          <w:pPr>
            <w:pStyle w:val="Contents1"/>
            <w:rPr>
              <w:rFonts w:ascii="Arial" w:hAnsi="Arial" w:eastAsia="ＭＳ Ｐゴシック" w:cs="Arial" w:asciiTheme="minorHAnsi" w:cstheme="minorBidi" w:eastAsiaTheme="minorEastAsia" w:hAnsiTheme="minorHAnsi"/>
              <w:b w:val="false"/>
              <w:b w:val="false"/>
              <w:color w:val="auto"/>
              <w:sz w:val="22"/>
              <w:szCs w:val="22"/>
              <w:lang w:eastAsia="en-GB"/>
            </w:rPr>
          </w:pPr>
          <w:hyperlink w:anchor="_Toc48895940">
            <w:r>
              <w:rPr>
                <w:webHidden/>
                <w:rStyle w:val="IndexLink"/>
              </w:rPr>
              <w:t>5</w:t>
            </w:r>
            <w:r>
              <w:rPr>
                <w:rStyle w:val="IndexLink"/>
                <w:rFonts w:eastAsia="ＭＳ Ｐゴシック" w:cs="Arial" w:cstheme="minorBidi" w:eastAsiaTheme="minorEastAsia"/>
                <w:b w:val="false"/>
                <w:color w:val="auto"/>
                <w:sz w:val="22"/>
                <w:szCs w:val="22"/>
                <w:lang w:eastAsia="en-GB"/>
              </w:rPr>
              <w:tab/>
            </w:r>
            <w:r>
              <w:rPr>
                <w:rStyle w:val="IndexLink"/>
              </w:rPr>
              <w:t>Onboarding Artefacts</w:t>
            </w:r>
            <w:r>
              <w:rPr>
                <w:webHidden/>
              </w:rPr>
              <w:fldChar w:fldCharType="begin"/>
            </w:r>
            <w:r>
              <w:rPr>
                <w:webHidden/>
              </w:rPr>
              <w:instrText>PAGEREF _Toc48895940 \h</w:instrText>
            </w:r>
            <w:r>
              <w:rPr>
                <w:webHidden/>
              </w:rPr>
              <w:fldChar w:fldCharType="separate"/>
            </w:r>
            <w:r>
              <w:rPr>
                <w:rStyle w:val="IndexLink"/>
                <w:vanish w:val="false"/>
              </w:rPr>
              <w:tab/>
              <w:t>23</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41">
            <w:r>
              <w:rPr>
                <w:webHidden/>
                <w:rStyle w:val="IndexLink"/>
              </w:rPr>
              <w:t>5.1</w:t>
            </w:r>
            <w:r>
              <w:rPr>
                <w:rStyle w:val="IndexLink"/>
                <w:rFonts w:eastAsia="ＭＳ Ｐゴシック" w:cs="Arial" w:cstheme="minorBidi" w:eastAsiaTheme="minorEastAsia"/>
                <w:color w:val="auto"/>
                <w:sz w:val="22"/>
                <w:szCs w:val="22"/>
                <w:lang w:eastAsia="en-GB"/>
              </w:rPr>
              <w:tab/>
            </w:r>
            <w:r>
              <w:rPr>
                <w:rStyle w:val="IndexLink"/>
              </w:rPr>
              <w:t>Supplier Conformance Assessment List and Technical Conformance Certificate</w:t>
            </w:r>
            <w:r>
              <w:rPr>
                <w:webHidden/>
              </w:rPr>
              <w:fldChar w:fldCharType="begin"/>
            </w:r>
            <w:r>
              <w:rPr>
                <w:webHidden/>
              </w:rPr>
              <w:instrText>PAGEREF _Toc48895941 \h</w:instrText>
            </w:r>
            <w:r>
              <w:rPr>
                <w:webHidden/>
              </w:rPr>
              <w:fldChar w:fldCharType="separate"/>
            </w:r>
            <w:r>
              <w:rPr>
                <w:rStyle w:val="IndexLink"/>
                <w:vanish w:val="false"/>
              </w:rPr>
              <w:tab/>
              <w:t>23</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42">
            <w:r>
              <w:rPr>
                <w:webHidden/>
                <w:rStyle w:val="IndexLink"/>
              </w:rPr>
              <w:t>5.2</w:t>
            </w:r>
            <w:r>
              <w:rPr>
                <w:rStyle w:val="IndexLink"/>
                <w:rFonts w:eastAsia="ＭＳ Ｐゴシック" w:cs="Arial" w:cstheme="minorBidi" w:eastAsiaTheme="minorEastAsia"/>
                <w:color w:val="auto"/>
                <w:sz w:val="22"/>
                <w:szCs w:val="22"/>
                <w:lang w:eastAsia="en-GB"/>
              </w:rPr>
              <w:tab/>
            </w:r>
            <w:r>
              <w:rPr>
                <w:rStyle w:val="IndexLink"/>
              </w:rPr>
              <w:t>Connection Agreement</w:t>
            </w:r>
            <w:r>
              <w:rPr>
                <w:webHidden/>
              </w:rPr>
              <w:fldChar w:fldCharType="begin"/>
            </w:r>
            <w:r>
              <w:rPr>
                <w:webHidden/>
              </w:rPr>
              <w:instrText>PAGEREF _Toc48895942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43">
            <w:r>
              <w:rPr>
                <w:webHidden/>
                <w:rStyle w:val="IndexLink"/>
              </w:rPr>
              <w:t>5.3</w:t>
            </w:r>
            <w:r>
              <w:rPr>
                <w:rStyle w:val="IndexLink"/>
                <w:rFonts w:eastAsia="ＭＳ Ｐゴシック" w:cs="Arial" w:cstheme="minorBidi" w:eastAsiaTheme="minorEastAsia"/>
                <w:color w:val="auto"/>
                <w:sz w:val="22"/>
                <w:szCs w:val="22"/>
                <w:lang w:eastAsia="en-GB"/>
              </w:rPr>
              <w:tab/>
            </w:r>
            <w:r>
              <w:rPr>
                <w:rStyle w:val="IndexLink"/>
              </w:rPr>
              <w:t>End User Organisation Acceptable Use Policy</w:t>
            </w:r>
            <w:r>
              <w:rPr>
                <w:webHidden/>
              </w:rPr>
              <w:fldChar w:fldCharType="begin"/>
            </w:r>
            <w:r>
              <w:rPr>
                <w:webHidden/>
              </w:rPr>
              <w:instrText>PAGEREF _Toc48895943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44">
            <w:r>
              <w:rPr>
                <w:webHidden/>
                <w:rStyle w:val="IndexLink"/>
              </w:rPr>
              <w:t>5.4</w:t>
            </w:r>
            <w:r>
              <w:rPr>
                <w:rStyle w:val="IndexLink"/>
                <w:rFonts w:eastAsia="ＭＳ Ｐゴシック" w:cs="Arial" w:cstheme="minorBidi" w:eastAsiaTheme="minorEastAsia"/>
                <w:color w:val="auto"/>
                <w:sz w:val="22"/>
                <w:szCs w:val="22"/>
                <w:lang w:eastAsia="en-GB"/>
              </w:rPr>
              <w:tab/>
            </w:r>
            <w:r>
              <w:rPr>
                <w:rStyle w:val="IndexLink"/>
              </w:rPr>
              <w:t>Data Sharing Arrangement</w:t>
            </w:r>
            <w:r>
              <w:rPr>
                <w:webHidden/>
              </w:rPr>
              <w:fldChar w:fldCharType="begin"/>
            </w:r>
            <w:r>
              <w:rPr>
                <w:webHidden/>
              </w:rPr>
              <w:instrText>PAGEREF _Toc48895944 \h</w:instrText>
            </w:r>
            <w:r>
              <w:rPr>
                <w:webHidden/>
              </w:rPr>
              <w:fldChar w:fldCharType="separate"/>
            </w:r>
            <w:r>
              <w:rPr>
                <w:rStyle w:val="IndexLink"/>
                <w:vanish w:val="false"/>
              </w:rPr>
              <w:tab/>
              <w:t>24</w:t>
            </w:r>
            <w:r>
              <w:rPr>
                <w:webHidden/>
              </w:rPr>
              <w:fldChar w:fldCharType="end"/>
            </w:r>
          </w:hyperlink>
        </w:p>
        <w:p>
          <w:pPr>
            <w:pStyle w:val="Contents1"/>
            <w:rPr>
              <w:rFonts w:ascii="Arial" w:hAnsi="Arial" w:eastAsia="ＭＳ Ｐゴシック" w:cs="Arial" w:asciiTheme="minorHAnsi" w:cstheme="minorBidi" w:eastAsiaTheme="minorEastAsia" w:hAnsiTheme="minorHAnsi"/>
              <w:b w:val="false"/>
              <w:b w:val="false"/>
              <w:color w:val="auto"/>
              <w:sz w:val="22"/>
              <w:szCs w:val="22"/>
              <w:lang w:eastAsia="en-GB"/>
            </w:rPr>
          </w:pPr>
          <w:hyperlink w:anchor="_Toc48895945">
            <w:r>
              <w:rPr>
                <w:webHidden/>
                <w:rStyle w:val="IndexLink"/>
              </w:rPr>
              <w:t>6</w:t>
            </w:r>
            <w:r>
              <w:rPr>
                <w:rStyle w:val="IndexLink"/>
                <w:rFonts w:eastAsia="ＭＳ Ｐゴシック" w:cs="Arial" w:cstheme="minorBidi" w:eastAsiaTheme="minorEastAsia"/>
                <w:b w:val="false"/>
                <w:color w:val="auto"/>
                <w:sz w:val="22"/>
                <w:szCs w:val="22"/>
                <w:lang w:eastAsia="en-GB"/>
              </w:rPr>
              <w:tab/>
            </w:r>
            <w:r>
              <w:rPr>
                <w:rStyle w:val="IndexLink"/>
              </w:rPr>
              <w:t>Live Service Implementation</w:t>
            </w:r>
            <w:r>
              <w:rPr>
                <w:webHidden/>
              </w:rPr>
              <w:fldChar w:fldCharType="begin"/>
            </w:r>
            <w:r>
              <w:rPr>
                <w:webHidden/>
              </w:rPr>
              <w:instrText>PAGEREF _Toc48895945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46">
            <w:r>
              <w:rPr>
                <w:webHidden/>
                <w:rStyle w:val="IndexLink"/>
              </w:rPr>
              <w:t>6.1</w:t>
            </w:r>
            <w:r>
              <w:rPr>
                <w:rStyle w:val="IndexLink"/>
                <w:rFonts w:eastAsia="ＭＳ Ｐゴシック" w:cs="Arial" w:cstheme="minorBidi" w:eastAsiaTheme="minorEastAsia"/>
                <w:color w:val="auto"/>
                <w:sz w:val="22"/>
                <w:szCs w:val="22"/>
                <w:lang w:eastAsia="en-GB"/>
              </w:rPr>
              <w:tab/>
            </w:r>
            <w:r>
              <w:rPr>
                <w:rStyle w:val="IndexLink"/>
              </w:rPr>
              <w:t>Live Connection Request</w:t>
            </w:r>
            <w:r>
              <w:rPr>
                <w:webHidden/>
              </w:rPr>
              <w:fldChar w:fldCharType="begin"/>
            </w:r>
            <w:r>
              <w:rPr>
                <w:webHidden/>
              </w:rPr>
              <w:instrText>PAGEREF _Toc48895946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47">
            <w:r>
              <w:rPr>
                <w:webHidden/>
                <w:rStyle w:val="IndexLink"/>
              </w:rPr>
              <w:t>6.2</w:t>
            </w:r>
            <w:r>
              <w:rPr>
                <w:rStyle w:val="IndexLink"/>
                <w:rFonts w:eastAsia="ＭＳ Ｐゴシック" w:cs="Arial" w:cstheme="minorBidi" w:eastAsiaTheme="minorEastAsia"/>
                <w:color w:val="auto"/>
                <w:sz w:val="22"/>
                <w:szCs w:val="22"/>
                <w:lang w:eastAsia="en-GB"/>
              </w:rPr>
              <w:tab/>
            </w:r>
            <w:r>
              <w:rPr>
                <w:rStyle w:val="IndexLink"/>
              </w:rPr>
              <w:t>Supplier Access to NEMS Process</w:t>
            </w:r>
            <w:r>
              <w:rPr>
                <w:webHidden/>
              </w:rPr>
              <w:fldChar w:fldCharType="begin"/>
            </w:r>
            <w:r>
              <w:rPr>
                <w:webHidden/>
              </w:rPr>
              <w:instrText>PAGEREF _Toc48895947 \h</w:instrText>
            </w:r>
            <w:r>
              <w:rPr>
                <w:webHidden/>
              </w:rPr>
              <w:fldChar w:fldCharType="separate"/>
            </w:r>
            <w:r>
              <w:rPr>
                <w:rStyle w:val="IndexLink"/>
                <w:vanish w:val="false"/>
              </w:rPr>
              <w:tab/>
              <w:t>25</w:t>
            </w:r>
            <w:r>
              <w:rPr>
                <w:webHidden/>
              </w:rPr>
              <w:fldChar w:fldCharType="end"/>
            </w:r>
          </w:hyperlink>
        </w:p>
        <w:p>
          <w:pPr>
            <w:pStyle w:val="Contents1"/>
            <w:rPr>
              <w:rFonts w:ascii="Arial" w:hAnsi="Arial" w:eastAsia="ＭＳ Ｐゴシック" w:cs="Arial" w:asciiTheme="minorHAnsi" w:cstheme="minorBidi" w:eastAsiaTheme="minorEastAsia" w:hAnsiTheme="minorHAnsi"/>
              <w:b w:val="false"/>
              <w:b w:val="false"/>
              <w:color w:val="auto"/>
              <w:sz w:val="22"/>
              <w:szCs w:val="22"/>
              <w:lang w:eastAsia="en-GB"/>
            </w:rPr>
          </w:pPr>
          <w:hyperlink w:anchor="_Toc48895948">
            <w:r>
              <w:rPr>
                <w:webHidden/>
                <w:rStyle w:val="IndexLink"/>
              </w:rPr>
              <w:t>7</w:t>
            </w:r>
            <w:r>
              <w:rPr>
                <w:rStyle w:val="IndexLink"/>
                <w:rFonts w:eastAsia="ＭＳ Ｐゴシック" w:cs="Arial" w:cstheme="minorBidi" w:eastAsiaTheme="minorEastAsia"/>
                <w:b w:val="false"/>
                <w:color w:val="auto"/>
                <w:sz w:val="22"/>
                <w:szCs w:val="22"/>
                <w:lang w:eastAsia="en-GB"/>
              </w:rPr>
              <w:tab/>
            </w:r>
            <w:r>
              <w:rPr>
                <w:rStyle w:val="IndexLink"/>
              </w:rPr>
              <w:t>Post Implementation Support</w:t>
            </w:r>
            <w:r>
              <w:rPr>
                <w:webHidden/>
              </w:rPr>
              <w:fldChar w:fldCharType="begin"/>
            </w:r>
            <w:r>
              <w:rPr>
                <w:webHidden/>
              </w:rPr>
              <w:instrText>PAGEREF _Toc48895948 \h</w:instrText>
            </w:r>
            <w:r>
              <w:rPr>
                <w:webHidden/>
              </w:rPr>
              <w:fldChar w:fldCharType="separate"/>
            </w:r>
            <w:r>
              <w:rPr>
                <w:rStyle w:val="IndexLink"/>
                <w:vanish w:val="false"/>
              </w:rPr>
              <w:tab/>
              <w:t>26</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49">
            <w:r>
              <w:rPr>
                <w:webHidden/>
                <w:rStyle w:val="IndexLink"/>
              </w:rPr>
              <w:t>7.1</w:t>
            </w:r>
            <w:r>
              <w:rPr>
                <w:rStyle w:val="IndexLink"/>
                <w:rFonts w:eastAsia="ＭＳ Ｐゴシック" w:cs="Arial" w:cstheme="minorBidi" w:eastAsiaTheme="minorEastAsia"/>
                <w:color w:val="auto"/>
                <w:sz w:val="22"/>
                <w:szCs w:val="22"/>
                <w:lang w:eastAsia="en-GB"/>
              </w:rPr>
              <w:tab/>
            </w:r>
            <w:r>
              <w:rPr>
                <w:rStyle w:val="IndexLink"/>
              </w:rPr>
              <w:t>Incident Management</w:t>
            </w:r>
            <w:r>
              <w:rPr>
                <w:webHidden/>
              </w:rPr>
              <w:fldChar w:fldCharType="begin"/>
            </w:r>
            <w:r>
              <w:rPr>
                <w:webHidden/>
              </w:rPr>
              <w:instrText>PAGEREF _Toc48895949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50">
            <w:r>
              <w:rPr>
                <w:webHidden/>
                <w:rStyle w:val="IndexLink"/>
              </w:rPr>
              <w:t>7.2</w:t>
            </w:r>
            <w:r>
              <w:rPr>
                <w:rStyle w:val="IndexLink"/>
                <w:rFonts w:eastAsia="ＭＳ Ｐゴシック" w:cs="Arial" w:cstheme="minorBidi" w:eastAsiaTheme="minorEastAsia"/>
                <w:color w:val="auto"/>
                <w:sz w:val="22"/>
                <w:szCs w:val="22"/>
                <w:lang w:eastAsia="en-GB"/>
              </w:rPr>
              <w:tab/>
            </w:r>
            <w:r>
              <w:rPr>
                <w:rStyle w:val="IndexLink"/>
              </w:rPr>
              <w:t>Environment Maintenance</w:t>
            </w:r>
            <w:r>
              <w:rPr>
                <w:webHidden/>
              </w:rPr>
              <w:fldChar w:fldCharType="begin"/>
            </w:r>
            <w:r>
              <w:rPr>
                <w:webHidden/>
              </w:rPr>
              <w:instrText>PAGEREF _Toc48895950 \h</w:instrText>
            </w:r>
            <w:r>
              <w:rPr>
                <w:webHidden/>
              </w:rPr>
              <w:fldChar w:fldCharType="separate"/>
            </w:r>
            <w:r>
              <w:rPr>
                <w:rStyle w:val="IndexLink"/>
                <w:vanish w:val="false"/>
              </w:rPr>
              <w:tab/>
              <w:t>27</w:t>
            </w:r>
            <w:r>
              <w:rPr>
                <w:webHidden/>
              </w:rPr>
              <w:fldChar w:fldCharType="end"/>
            </w:r>
          </w:hyperlink>
        </w:p>
        <w:p>
          <w:pPr>
            <w:pStyle w:val="Contents1"/>
            <w:rPr>
              <w:rFonts w:ascii="Arial" w:hAnsi="Arial" w:eastAsia="ＭＳ Ｐゴシック" w:cs="Arial" w:asciiTheme="minorHAnsi" w:cstheme="minorBidi" w:eastAsiaTheme="minorEastAsia" w:hAnsiTheme="minorHAnsi"/>
              <w:b w:val="false"/>
              <w:b w:val="false"/>
              <w:color w:val="auto"/>
              <w:sz w:val="22"/>
              <w:szCs w:val="22"/>
              <w:lang w:eastAsia="en-GB"/>
            </w:rPr>
          </w:pPr>
          <w:hyperlink w:anchor="_Toc48895951">
            <w:r>
              <w:rPr>
                <w:webHidden/>
                <w:rStyle w:val="IndexLink"/>
              </w:rPr>
              <w:t>8</w:t>
            </w:r>
            <w:r>
              <w:rPr>
                <w:rStyle w:val="IndexLink"/>
                <w:rFonts w:eastAsia="ＭＳ Ｐゴシック" w:cs="Arial" w:cstheme="minorBidi" w:eastAsiaTheme="minorEastAsia"/>
                <w:b w:val="false"/>
                <w:color w:val="auto"/>
                <w:sz w:val="22"/>
                <w:szCs w:val="22"/>
                <w:lang w:eastAsia="en-GB"/>
              </w:rPr>
              <w:tab/>
            </w:r>
            <w:r>
              <w:rPr>
                <w:rStyle w:val="IndexLink"/>
              </w:rPr>
              <w:t>Appendix</w:t>
            </w:r>
            <w:r>
              <w:rPr>
                <w:webHidden/>
              </w:rPr>
              <w:fldChar w:fldCharType="begin"/>
            </w:r>
            <w:r>
              <w:rPr>
                <w:webHidden/>
              </w:rPr>
              <w:instrText>PAGEREF _Toc48895951 \h</w:instrText>
            </w:r>
            <w:r>
              <w:rPr>
                <w:webHidden/>
              </w:rPr>
              <w:fldChar w:fldCharType="separate"/>
            </w:r>
            <w:r>
              <w:rPr>
                <w:rStyle w:val="IndexLink"/>
                <w:vanish w:val="false"/>
              </w:rPr>
              <w:tab/>
              <w:t>29</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52">
            <w:r>
              <w:rPr>
                <w:webHidden/>
                <w:rStyle w:val="IndexLink"/>
              </w:rPr>
              <w:t>8.1</w:t>
            </w:r>
            <w:r>
              <w:rPr>
                <w:rStyle w:val="IndexLink"/>
                <w:rFonts w:eastAsia="ＭＳ Ｐゴシック" w:cs="Arial" w:cstheme="minorBidi" w:eastAsiaTheme="minorEastAsia"/>
                <w:color w:val="auto"/>
                <w:sz w:val="22"/>
                <w:szCs w:val="22"/>
                <w:lang w:eastAsia="en-GB"/>
              </w:rPr>
              <w:tab/>
            </w:r>
            <w:r>
              <w:rPr>
                <w:rStyle w:val="IndexLink"/>
              </w:rPr>
              <w:t>NEMS Business Rules</w:t>
            </w:r>
            <w:r>
              <w:rPr>
                <w:webHidden/>
              </w:rPr>
              <w:fldChar w:fldCharType="begin"/>
            </w:r>
            <w:r>
              <w:rPr>
                <w:webHidden/>
              </w:rPr>
              <w:instrText>PAGEREF _Toc48895952 \h</w:instrText>
            </w:r>
            <w:r>
              <w:rPr>
                <w:webHidden/>
              </w:rPr>
              <w:fldChar w:fldCharType="separate"/>
            </w:r>
            <w:r>
              <w:rPr>
                <w:rStyle w:val="IndexLink"/>
                <w:vanish w:val="false"/>
              </w:rPr>
              <w:tab/>
              <w:t>29</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53">
            <w:r>
              <w:rPr>
                <w:webHidden/>
                <w:rStyle w:val="IndexLink"/>
              </w:rPr>
              <w:t>8.1.1</w:t>
            </w:r>
            <w:r>
              <w:rPr>
                <w:rStyle w:val="IndexLink"/>
                <w:color w:val="auto"/>
                <w:sz w:val="22"/>
                <w:lang w:val="en-GB" w:eastAsia="en-GB"/>
              </w:rPr>
              <w:tab/>
            </w:r>
            <w:r>
              <w:rPr>
                <w:rStyle w:val="IndexLink"/>
              </w:rPr>
              <w:t>PDS Birth Notification</w:t>
            </w:r>
            <w:r>
              <w:rPr>
                <w:webHidden/>
              </w:rPr>
              <w:fldChar w:fldCharType="begin"/>
            </w:r>
            <w:r>
              <w:rPr>
                <w:webHidden/>
              </w:rPr>
              <w:instrText>PAGEREF _Toc48895953 \h</w:instrText>
            </w:r>
            <w:r>
              <w:rPr>
                <w:webHidden/>
              </w:rPr>
              <w:fldChar w:fldCharType="separate"/>
            </w:r>
            <w:r>
              <w:rPr>
                <w:rStyle w:val="IndexLink"/>
                <w:vanish w:val="false"/>
              </w:rPr>
              <w:tab/>
              <w:t>29</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54">
            <w:r>
              <w:rPr>
                <w:webHidden/>
                <w:rStyle w:val="IndexLink"/>
              </w:rPr>
              <w:t>8.1.2</w:t>
            </w:r>
            <w:r>
              <w:rPr>
                <w:rStyle w:val="IndexLink"/>
                <w:color w:val="auto"/>
                <w:sz w:val="22"/>
                <w:lang w:val="en-GB" w:eastAsia="en-GB"/>
              </w:rPr>
              <w:tab/>
            </w:r>
            <w:r>
              <w:rPr>
                <w:rStyle w:val="IndexLink"/>
              </w:rPr>
              <w:t>PDS Change of Address</w:t>
            </w:r>
            <w:r>
              <w:rPr>
                <w:webHidden/>
              </w:rPr>
              <w:fldChar w:fldCharType="begin"/>
            </w:r>
            <w:r>
              <w:rPr>
                <w:webHidden/>
              </w:rPr>
              <w:instrText>PAGEREF _Toc48895954 \h</w:instrText>
            </w:r>
            <w:r>
              <w:rPr>
                <w:webHidden/>
              </w:rPr>
              <w:fldChar w:fldCharType="separate"/>
            </w:r>
            <w:r>
              <w:rPr>
                <w:rStyle w:val="IndexLink"/>
                <w:vanish w:val="false"/>
              </w:rPr>
              <w:tab/>
              <w:t>30</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55">
            <w:r>
              <w:rPr>
                <w:webHidden/>
                <w:rStyle w:val="IndexLink"/>
              </w:rPr>
              <w:t>8.1.3</w:t>
            </w:r>
            <w:r>
              <w:rPr>
                <w:rStyle w:val="IndexLink"/>
                <w:color w:val="auto"/>
                <w:sz w:val="22"/>
                <w:lang w:val="en-GB" w:eastAsia="en-GB"/>
              </w:rPr>
              <w:tab/>
            </w:r>
            <w:r>
              <w:rPr>
                <w:rStyle w:val="IndexLink"/>
              </w:rPr>
              <w:t>PDS Change of GP</w:t>
            </w:r>
            <w:r>
              <w:rPr>
                <w:webHidden/>
              </w:rPr>
              <w:fldChar w:fldCharType="begin"/>
            </w:r>
            <w:r>
              <w:rPr>
                <w:webHidden/>
              </w:rPr>
              <w:instrText>PAGEREF _Toc48895955 \h</w:instrText>
            </w:r>
            <w:r>
              <w:rPr>
                <w:webHidden/>
              </w:rPr>
              <w:fldChar w:fldCharType="separate"/>
            </w:r>
            <w:r>
              <w:rPr>
                <w:rStyle w:val="IndexLink"/>
                <w:vanish w:val="false"/>
              </w:rPr>
              <w:tab/>
              <w:t>31</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56">
            <w:r>
              <w:rPr>
                <w:webHidden/>
                <w:rStyle w:val="IndexLink"/>
              </w:rPr>
              <w:t>8.1.4</w:t>
            </w:r>
            <w:r>
              <w:rPr>
                <w:rStyle w:val="IndexLink"/>
                <w:color w:val="auto"/>
                <w:sz w:val="22"/>
                <w:lang w:val="en-GB" w:eastAsia="en-GB"/>
              </w:rPr>
              <w:tab/>
            </w:r>
            <w:r>
              <w:rPr>
                <w:rStyle w:val="IndexLink"/>
              </w:rPr>
              <w:t>PDS Death</w:t>
            </w:r>
            <w:r>
              <w:rPr>
                <w:webHidden/>
              </w:rPr>
              <w:fldChar w:fldCharType="begin"/>
            </w:r>
            <w:r>
              <w:rPr>
                <w:webHidden/>
              </w:rPr>
              <w:instrText>PAGEREF _Toc48895956 \h</w:instrText>
            </w:r>
            <w:r>
              <w:rPr>
                <w:webHidden/>
              </w:rPr>
              <w:fldChar w:fldCharType="separate"/>
            </w:r>
            <w:r>
              <w:rPr>
                <w:rStyle w:val="IndexLink"/>
                <w:vanish w:val="false"/>
              </w:rPr>
              <w:tab/>
              <w:t>32</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57">
            <w:r>
              <w:rPr>
                <w:webHidden/>
                <w:rStyle w:val="IndexLink"/>
              </w:rPr>
              <w:t>8.1.5</w:t>
            </w:r>
            <w:r>
              <w:rPr>
                <w:rStyle w:val="IndexLink"/>
                <w:color w:val="auto"/>
                <w:sz w:val="22"/>
                <w:lang w:val="en-GB" w:eastAsia="en-GB"/>
              </w:rPr>
              <w:tab/>
            </w:r>
            <w:r>
              <w:rPr>
                <w:rStyle w:val="IndexLink"/>
              </w:rPr>
              <w:t>Newborn Infant Physical Examination</w:t>
            </w:r>
            <w:r>
              <w:rPr>
                <w:webHidden/>
              </w:rPr>
              <w:fldChar w:fldCharType="begin"/>
            </w:r>
            <w:r>
              <w:rPr>
                <w:webHidden/>
              </w:rPr>
              <w:instrText>PAGEREF _Toc48895957 \h</w:instrText>
            </w:r>
            <w:r>
              <w:rPr>
                <w:webHidden/>
              </w:rPr>
              <w:fldChar w:fldCharType="separate"/>
            </w:r>
            <w:r>
              <w:rPr>
                <w:rStyle w:val="IndexLink"/>
                <w:vanish w:val="false"/>
              </w:rPr>
              <w:tab/>
              <w:t>33</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58">
            <w:r>
              <w:rPr>
                <w:webHidden/>
                <w:rStyle w:val="IndexLink"/>
              </w:rPr>
              <w:t>8.1.6</w:t>
            </w:r>
            <w:r>
              <w:rPr>
                <w:rStyle w:val="IndexLink"/>
                <w:color w:val="auto"/>
                <w:sz w:val="22"/>
                <w:lang w:val="en-GB" w:eastAsia="en-GB"/>
              </w:rPr>
              <w:tab/>
            </w:r>
            <w:r>
              <w:rPr>
                <w:rStyle w:val="IndexLink"/>
              </w:rPr>
              <w:t>Bloodspot Outcome</w:t>
            </w:r>
            <w:r>
              <w:rPr>
                <w:webHidden/>
              </w:rPr>
              <w:fldChar w:fldCharType="begin"/>
            </w:r>
            <w:r>
              <w:rPr>
                <w:webHidden/>
              </w:rPr>
              <w:instrText>PAGEREF _Toc48895958 \h</w:instrText>
            </w:r>
            <w:r>
              <w:rPr>
                <w:webHidden/>
              </w:rPr>
              <w:fldChar w:fldCharType="separate"/>
            </w:r>
            <w:r>
              <w:rPr>
                <w:rStyle w:val="IndexLink"/>
                <w:vanish w:val="false"/>
              </w:rPr>
              <w:tab/>
              <w:t>34</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59">
            <w:r>
              <w:rPr>
                <w:webHidden/>
                <w:rStyle w:val="IndexLink"/>
              </w:rPr>
              <w:t>8.1.7</w:t>
            </w:r>
            <w:r>
              <w:rPr>
                <w:rStyle w:val="IndexLink"/>
                <w:color w:val="auto"/>
                <w:sz w:val="22"/>
                <w:lang w:val="en-GB" w:eastAsia="en-GB"/>
              </w:rPr>
              <w:tab/>
            </w:r>
            <w:r>
              <w:rPr>
                <w:rStyle w:val="IndexLink"/>
              </w:rPr>
              <w:t>Hearing</w:t>
            </w:r>
            <w:r>
              <w:rPr>
                <w:webHidden/>
              </w:rPr>
              <w:fldChar w:fldCharType="begin"/>
            </w:r>
            <w:r>
              <w:rPr>
                <w:webHidden/>
              </w:rPr>
              <w:instrText>PAGEREF _Toc48895959 \h</w:instrText>
            </w:r>
            <w:r>
              <w:rPr>
                <w:webHidden/>
              </w:rPr>
              <w:fldChar w:fldCharType="separate"/>
            </w:r>
            <w:r>
              <w:rPr>
                <w:rStyle w:val="IndexLink"/>
                <w:vanish w:val="false"/>
              </w:rPr>
              <w:tab/>
              <w:t>35</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60">
            <w:r>
              <w:rPr>
                <w:webHidden/>
                <w:rStyle w:val="IndexLink"/>
              </w:rPr>
              <w:t>8.1.8</w:t>
            </w:r>
            <w:r>
              <w:rPr>
                <w:rStyle w:val="IndexLink"/>
                <w:color w:val="auto"/>
                <w:sz w:val="22"/>
                <w:lang w:val="en-GB" w:eastAsia="en-GB"/>
              </w:rPr>
              <w:tab/>
            </w:r>
            <w:r>
              <w:rPr>
                <w:rStyle w:val="IndexLink"/>
              </w:rPr>
              <w:t>Professional Contact</w:t>
            </w:r>
            <w:r>
              <w:rPr>
                <w:webHidden/>
              </w:rPr>
              <w:fldChar w:fldCharType="begin"/>
            </w:r>
            <w:r>
              <w:rPr>
                <w:webHidden/>
              </w:rPr>
              <w:instrText>PAGEREF _Toc48895960 \h</w:instrText>
            </w:r>
            <w:r>
              <w:rPr>
                <w:webHidden/>
              </w:rPr>
              <w:fldChar w:fldCharType="separate"/>
            </w:r>
            <w:r>
              <w:rPr>
                <w:rStyle w:val="IndexLink"/>
                <w:vanish w:val="false"/>
              </w:rPr>
              <w:tab/>
              <w:t>36</w:t>
            </w:r>
            <w:r>
              <w:rPr>
                <w:webHidden/>
              </w:rPr>
              <w:fldChar w:fldCharType="end"/>
            </w:r>
          </w:hyperlink>
        </w:p>
        <w:p>
          <w:pPr>
            <w:pStyle w:val="Contents3"/>
            <w:tabs>
              <w:tab w:val="clear" w:pos="720"/>
              <w:tab w:val="left" w:pos="1320" w:leader="none"/>
              <w:tab w:val="right" w:pos="9854" w:leader="none"/>
            </w:tabs>
            <w:rPr>
              <w:color w:val="auto"/>
              <w:sz w:val="22"/>
              <w:lang w:val="en-GB" w:eastAsia="en-GB"/>
            </w:rPr>
          </w:pPr>
          <w:hyperlink w:anchor="_Toc48895961">
            <w:r>
              <w:rPr>
                <w:webHidden/>
                <w:rStyle w:val="IndexLink"/>
              </w:rPr>
              <w:t>8.1.9</w:t>
            </w:r>
            <w:r>
              <w:rPr>
                <w:rStyle w:val="IndexLink"/>
                <w:color w:val="auto"/>
                <w:sz w:val="22"/>
                <w:lang w:val="en-GB" w:eastAsia="en-GB"/>
              </w:rPr>
              <w:tab/>
            </w:r>
            <w:r>
              <w:rPr>
                <w:rStyle w:val="IndexLink"/>
              </w:rPr>
              <w:t>Vaccinations</w:t>
            </w:r>
            <w:r>
              <w:rPr>
                <w:webHidden/>
              </w:rPr>
              <w:fldChar w:fldCharType="begin"/>
            </w:r>
            <w:r>
              <w:rPr>
                <w:webHidden/>
              </w:rPr>
              <w:instrText>PAGEREF _Toc48895961 \h</w:instrText>
            </w:r>
            <w:r>
              <w:rPr>
                <w:webHidden/>
              </w:rPr>
              <w:fldChar w:fldCharType="separate"/>
            </w:r>
            <w:r>
              <w:rPr>
                <w:rStyle w:val="IndexLink"/>
                <w:vanish w:val="false"/>
              </w:rPr>
              <w:tab/>
              <w:t>37</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62">
            <w:r>
              <w:rPr>
                <w:webHidden/>
                <w:rStyle w:val="IndexLink"/>
              </w:rPr>
              <w:t>8.2</w:t>
            </w:r>
            <w:r>
              <w:rPr>
                <w:rStyle w:val="IndexLink"/>
                <w:rFonts w:eastAsia="ＭＳ Ｐゴシック" w:cs="Arial" w:cstheme="minorBidi" w:eastAsiaTheme="minorEastAsia"/>
                <w:color w:val="auto"/>
                <w:sz w:val="22"/>
                <w:szCs w:val="22"/>
                <w:lang w:eastAsia="en-GB"/>
              </w:rPr>
              <w:tab/>
            </w:r>
            <w:r>
              <w:rPr>
                <w:rStyle w:val="IndexLink"/>
              </w:rPr>
              <w:t>NHS Digital Onboarding Supplier Task Checklist</w:t>
            </w:r>
            <w:r>
              <w:rPr>
                <w:webHidden/>
              </w:rPr>
              <w:fldChar w:fldCharType="begin"/>
            </w:r>
            <w:r>
              <w:rPr>
                <w:webHidden/>
              </w:rPr>
              <w:instrText>PAGEREF _Toc48895962 \h</w:instrText>
            </w:r>
            <w:r>
              <w:rPr>
                <w:webHidden/>
              </w:rPr>
              <w:fldChar w:fldCharType="separate"/>
            </w:r>
            <w:r>
              <w:rPr>
                <w:rStyle w:val="IndexLink"/>
                <w:vanish w:val="false"/>
              </w:rPr>
              <w:tab/>
              <w:t>38</w:t>
            </w:r>
            <w:r>
              <w:rPr>
                <w:webHidden/>
              </w:rPr>
              <w:fldChar w:fldCharType="end"/>
            </w:r>
          </w:hyperlink>
        </w:p>
        <w:p>
          <w:pPr>
            <w:pStyle w:val="Contents2"/>
            <w:tabs>
              <w:tab w:val="clear" w:pos="720"/>
              <w:tab w:val="left" w:pos="880" w:leader="none"/>
              <w:tab w:val="right" w:pos="9854" w:leader="none"/>
            </w:tabs>
            <w:rPr>
              <w:rFonts w:ascii="Arial" w:hAnsi="Arial" w:eastAsia="ＭＳ Ｐゴシック" w:cs="Arial" w:asciiTheme="minorHAnsi" w:cstheme="minorBidi" w:eastAsiaTheme="minorEastAsia" w:hAnsiTheme="minorHAnsi"/>
              <w:color w:val="auto"/>
              <w:sz w:val="22"/>
              <w:szCs w:val="22"/>
              <w:lang w:eastAsia="en-GB"/>
            </w:rPr>
          </w:pPr>
          <w:hyperlink w:anchor="_Toc48895963">
            <w:r>
              <w:rPr>
                <w:webHidden/>
                <w:rStyle w:val="IndexLink"/>
              </w:rPr>
              <w:t>8.3</w:t>
            </w:r>
            <w:r>
              <w:rPr>
                <w:rStyle w:val="IndexLink"/>
                <w:rFonts w:eastAsia="ＭＳ Ｐゴシック" w:cs="Arial" w:cstheme="minorBidi" w:eastAsiaTheme="minorEastAsia"/>
                <w:color w:val="auto"/>
                <w:sz w:val="22"/>
                <w:szCs w:val="22"/>
                <w:lang w:eastAsia="en-GB"/>
              </w:rPr>
              <w:tab/>
            </w:r>
            <w:r>
              <w:rPr>
                <w:rStyle w:val="IndexLink"/>
              </w:rPr>
              <w:t>Frequently Asked Questions</w:t>
            </w:r>
            <w:r>
              <w:rPr>
                <w:webHidden/>
              </w:rPr>
              <w:fldChar w:fldCharType="begin"/>
            </w:r>
            <w:r>
              <w:rPr>
                <w:webHidden/>
              </w:rPr>
              <w:instrText>PAGEREF _Toc48895963 \h</w:instrText>
            </w:r>
            <w:r>
              <w:rPr>
                <w:webHidden/>
              </w:rPr>
              <w:fldChar w:fldCharType="separate"/>
            </w:r>
            <w:r>
              <w:rPr>
                <w:rStyle w:val="IndexLink"/>
                <w:vanish w:val="false"/>
              </w:rPr>
              <w:tab/>
              <w:t>38</w:t>
            </w:r>
            <w:r>
              <w:rPr>
                <w:webHidden/>
              </w:rPr>
              <w:fldChar w:fldCharType="end"/>
            </w:r>
          </w:hyperlink>
        </w:p>
        <w:p>
          <w:pPr>
            <w:pStyle w:val="Normal"/>
            <w:spacing w:before="120" w:after="120"/>
            <w:rPr/>
          </w:pPr>
          <w:r>
            <w:rPr/>
          </w:r>
          <w:r>
            <w:rPr/>
            <w:fldChar w:fldCharType="end"/>
          </w:r>
        </w:p>
        <w:p>
          <w:pPr>
            <w:sectPr>
              <w:type w:val="continuous"/>
              <w:pgSz w:w="11906" w:h="16838"/>
              <w:pgMar w:left="1021" w:right="1021" w:header="454" w:top="1021" w:footer="557" w:bottom="1021" w:gutter="0"/>
              <w:formProt w:val="false"/>
              <w:textDirection w:val="lrTb"/>
              <w:docGrid w:type="default" w:linePitch="360" w:charSpace="0"/>
            </w:sectPr>
          </w:pPr>
        </w:p>
      </w:sdtContent>
    </w:sdt>
    <w:p>
      <w:pPr>
        <w:pStyle w:val="Normal"/>
        <w:spacing w:before="0" w:after="0"/>
        <w:rPr>
          <w:rFonts w:cs="Arial"/>
          <w:bCs/>
          <w:color w:val="005EB8" w:themeColor="accent1"/>
          <w:spacing w:val="-14"/>
          <w:kern w:val="2"/>
          <w:sz w:val="42"/>
          <w:szCs w:val="32"/>
          <w:highlight w:val="lightGray"/>
          <w14:ligatures w14:val="standardContextual"/>
        </w:rPr>
      </w:pPr>
      <w:r>
        <w:rPr>
          <w:rFonts w:cs="Arial"/>
          <w:bCs/>
          <w:color w:val="005EB8" w:themeColor="accent1"/>
          <w:spacing w:val="-14"/>
          <w:kern w:val="2"/>
          <w:sz w:val="42"/>
          <w:szCs w:val="32"/>
          <w:highlight w:val="lightGray"/>
          <w14:ligatures w14:val="standardContextual"/>
        </w:rPr>
      </w:r>
      <w:bookmarkStart w:id="6" w:name="_Toc35253943"/>
      <w:bookmarkStart w:id="7" w:name="_Toc35253773"/>
      <w:bookmarkStart w:id="8" w:name="_Toc35248552"/>
      <w:bookmarkStart w:id="9" w:name="_Toc35253943"/>
      <w:bookmarkStart w:id="10" w:name="_Toc35253773"/>
      <w:bookmarkStart w:id="11" w:name="_Toc35248552"/>
      <w:bookmarkEnd w:id="9"/>
      <w:bookmarkEnd w:id="10"/>
      <w:bookmarkEnd w:id="11"/>
      <w:r>
        <w:br w:type="page"/>
      </w:r>
    </w:p>
    <w:p>
      <w:pPr>
        <w:pStyle w:val="Heading1"/>
        <w:numPr>
          <w:ilvl w:val="0"/>
          <w:numId w:val="4"/>
        </w:numPr>
        <w:rPr/>
      </w:pPr>
      <w:bookmarkStart w:id="12" w:name="_Toc48895912"/>
      <w:r>
        <w:rPr/>
        <w:t>Introduction</w:t>
      </w:r>
      <w:bookmarkEnd w:id="12"/>
    </w:p>
    <w:p>
      <w:pPr>
        <w:pStyle w:val="Pa7"/>
        <w:spacing w:lineRule="auto" w:before="120" w:after="120"/>
        <w:rPr>
          <w:rFonts w:ascii="Arial" w:hAnsi="Arial"/>
          <w:color w:val="424D58" w:themeColor="accent6"/>
          <w:spacing w:val="4"/>
          <w:kern w:val="2"/>
          <w14:ligatures w14:val="standardContextual"/>
        </w:rPr>
      </w:pPr>
      <w:bookmarkStart w:id="13" w:name="_Ref14337853"/>
      <w:bookmarkEnd w:id="13"/>
      <w:r>
        <w:rPr>
          <w:rFonts w:ascii="Arial" w:hAnsi="Arial"/>
          <w:color w:val="424D58" w:themeColor="accent6"/>
          <w:spacing w:val="4"/>
          <w:kern w:val="2"/>
          <w14:ligatures w14:val="standardContextual"/>
        </w:rPr>
        <w:t>NHS Digital has been directed</w:t>
      </w:r>
      <w:r>
        <w:rPr>
          <w:rStyle w:val="FootnoteAnchor"/>
          <w:rFonts w:ascii="Arial" w:hAnsi="Arial"/>
        </w:rPr>
        <w:footnoteReference w:id="2"/>
      </w:r>
      <w:r>
        <w:rPr>
          <w:rFonts w:ascii="Arial" w:hAnsi="Arial"/>
          <w:color w:val="424D58" w:themeColor="accent6"/>
          <w:spacing w:val="4"/>
          <w:kern w:val="2"/>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pPr>
        <w:pStyle w:val="Standfirst"/>
        <w:spacing w:lineRule="auto" w:before="120" w:after="120"/>
        <w:rPr>
          <w:sz w:val="24"/>
          <w:szCs w:val="24"/>
        </w:rPr>
      </w:pPr>
      <w:r>
        <w:rPr>
          <w:sz w:val="24"/>
          <w:szCs w:val="24"/>
        </w:rPr>
        <w:t>NHS Digital provides several national technical capabilities intended to help industry and local health and social care providers enhance interoperability between IT systems and to flow information to support direct care</w:t>
      </w:r>
      <w:r>
        <w:rPr>
          <w:rStyle w:val="FootnoteAnchor"/>
          <w:sz w:val="24"/>
          <w:szCs w:val="24"/>
        </w:rPr>
        <w:footnoteReference w:id="3"/>
      </w:r>
      <w:r>
        <w:rPr>
          <w:sz w:val="24"/>
          <w:szCs w:val="24"/>
        </w:rPr>
        <w:t xml:space="preserve"> purposes, one of which is the National Event Management Service (NEMS).</w:t>
      </w:r>
    </w:p>
    <w:p>
      <w:pPr>
        <w:pStyle w:val="Normal"/>
        <w:keepNext w:val="true"/>
        <w:spacing w:lineRule="auto" w:before="120" w:after="120"/>
        <w:jc w:val="center"/>
        <w:rPr/>
      </w:pPr>
      <w:r>
        <w:rPr/>
        <w:drawing>
          <wp:inline distT="0" distB="0" distL="0" distR="0">
            <wp:extent cx="5105400" cy="261493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6"/>
                    <a:stretch>
                      <a:fillRect/>
                    </a:stretch>
                  </pic:blipFill>
                  <pic:spPr bwMode="auto">
                    <a:xfrm>
                      <a:off x="0" y="0"/>
                      <a:ext cx="5105400" cy="2614930"/>
                    </a:xfrm>
                    <a:prstGeom prst="rect">
                      <a:avLst/>
                    </a:prstGeom>
                  </pic:spPr>
                </pic:pic>
              </a:graphicData>
            </a:graphic>
          </wp:inline>
        </w:drawing>
      </w:r>
    </w:p>
    <w:p>
      <w:pPr>
        <w:pStyle w:val="Caption1"/>
        <w:spacing w:lineRule="auto" w:before="120" w:after="120"/>
        <w:jc w:val="center"/>
        <w:rPr>
          <w:sz w:val="20"/>
          <w:szCs w:val="20"/>
        </w:rPr>
      </w:pPr>
      <w:r>
        <w:rPr>
          <w:i w:val="false"/>
          <w:iCs w:val="false"/>
          <w:sz w:val="20"/>
          <w:szCs w:val="20"/>
        </w:rPr>
        <w:t xml:space="preserve">Figure </w:t>
      </w:r>
      <w:r>
        <w:rPr>
          <w:i w:val="false"/>
          <w:iCs w:val="false"/>
          <w:sz w:val="20"/>
          <w:szCs w:val="20"/>
        </w:rPr>
        <w:fldChar w:fldCharType="begin"/>
      </w:r>
      <w:r>
        <w:rPr>
          <w:sz w:val="20"/>
          <w:i w:val="false"/>
          <w:szCs w:val="20"/>
          <w:iCs w:val="false"/>
        </w:rPr>
        <w:instrText> SEQ Figure \* ARABIC </w:instrText>
      </w:r>
      <w:r>
        <w:rPr>
          <w:sz w:val="20"/>
          <w:i w:val="false"/>
          <w:szCs w:val="20"/>
          <w:iCs w:val="false"/>
        </w:rPr>
        <w:fldChar w:fldCharType="separate"/>
      </w:r>
      <w:r>
        <w:rPr>
          <w:sz w:val="20"/>
          <w:i w:val="false"/>
          <w:szCs w:val="20"/>
          <w:iCs w:val="false"/>
        </w:rPr>
        <w:t>1</w:t>
      </w:r>
      <w:r>
        <w:rPr>
          <w:sz w:val="20"/>
          <w:i w:val="false"/>
          <w:szCs w:val="20"/>
          <w:iCs w:val="false"/>
        </w:rPr>
        <w:fldChar w:fldCharType="end"/>
      </w:r>
      <w:r>
        <w:rPr>
          <w:i w:val="false"/>
          <w:iCs w:val="false"/>
          <w:sz w:val="20"/>
          <w:szCs w:val="20"/>
        </w:rPr>
        <w:t>:  Digital Interoperability Platform</w:t>
      </w:r>
    </w:p>
    <w:p>
      <w:pPr>
        <w:pStyle w:val="Standfirst"/>
        <w:spacing w:lineRule="auto" w:before="120" w:after="120"/>
        <w:rPr/>
      </w:pPr>
      <w:r>
        <w:rPr/>
      </w:r>
    </w:p>
    <w:p>
      <w:pPr>
        <w:pStyle w:val="Normal"/>
        <w:spacing w:lineRule="auto" w:before="120" w:after="120"/>
        <w:rPr/>
      </w:pPr>
      <w:r>
        <w:rPr>
          <w:color w:val="424D58" w:themeColor="accent6"/>
          <w:spacing w:val="4"/>
          <w:kern w:val="2"/>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application programming interface messages (APIs) and simplification of the operating model. </w:t>
      </w:r>
    </w:p>
    <w:p>
      <w:pPr>
        <w:pStyle w:val="Normal"/>
        <w:spacing w:lineRule="auto" w:before="120" w:after="120"/>
        <w:rPr>
          <w:color w:val="424D58" w:themeColor="accent6"/>
          <w:spacing w:val="4"/>
          <w:kern w:val="2"/>
          <w14:ligatures w14:val="standardContextual"/>
        </w:rPr>
      </w:pPr>
      <w:r>
        <w:rPr>
          <w:color w:val="424D58" w:themeColor="accent6"/>
          <w:spacing w:val="4"/>
          <w:kern w:val="2"/>
          <w14:ligatures w14:val="standardContextual"/>
        </w:rPr>
        <w:t>NHS Digital services which are enabled through the DIP include:</w:t>
      </w:r>
    </w:p>
    <w:p>
      <w:pPr>
        <w:pStyle w:val="ListParagraph"/>
        <w:numPr>
          <w:ilvl w:val="0"/>
          <w:numId w:val="11"/>
        </w:numPr>
        <w:spacing w:lineRule="auto" w:before="120" w:after="120"/>
        <w:rPr>
          <w:color w:val="424D58" w:themeColor="accent6"/>
          <w:spacing w:val="4"/>
          <w:kern w:val="2"/>
          <w14:ligatures w14:val="standardContextual"/>
        </w:rPr>
      </w:pPr>
      <w:r>
        <w:rPr>
          <w:color w:val="424D58" w:themeColor="accent6"/>
          <w:spacing w:val="4"/>
          <w:kern w:val="2"/>
          <w14:ligatures w14:val="standardContextual"/>
        </w:rPr>
        <w:t xml:space="preserve">GP Connect </w:t>
      </w:r>
    </w:p>
    <w:p>
      <w:pPr>
        <w:pStyle w:val="ListParagraph"/>
        <w:numPr>
          <w:ilvl w:val="0"/>
          <w:numId w:val="11"/>
        </w:numPr>
        <w:spacing w:lineRule="auto" w:before="120" w:after="120"/>
        <w:rPr>
          <w:color w:val="424D58" w:themeColor="accent6"/>
          <w:spacing w:val="4"/>
          <w:kern w:val="2"/>
          <w14:ligatures w14:val="standardContextual"/>
        </w:rPr>
      </w:pPr>
      <w:r>
        <w:rPr>
          <w:color w:val="424D58" w:themeColor="accent6"/>
          <w:spacing w:val="4"/>
          <w:kern w:val="2"/>
          <w14:ligatures w14:val="standardContextual"/>
        </w:rPr>
        <w:t xml:space="preserve">National Record Locator service (NRL) </w:t>
      </w:r>
    </w:p>
    <w:p>
      <w:pPr>
        <w:pStyle w:val="ListParagraph"/>
        <w:numPr>
          <w:ilvl w:val="0"/>
          <w:numId w:val="11"/>
        </w:numPr>
        <w:spacing w:lineRule="auto" w:before="120" w:after="120"/>
        <w:rPr>
          <w:color w:val="424D58" w:themeColor="accent6"/>
          <w:spacing w:val="4"/>
          <w:kern w:val="2"/>
          <w14:ligatures w14:val="standardContextual"/>
        </w:rPr>
      </w:pPr>
      <w:r>
        <w:rPr>
          <w:color w:val="424D58" w:themeColor="accent6"/>
          <w:spacing w:val="4"/>
          <w:kern w:val="2"/>
          <w14:ligatures w14:val="standardContextual"/>
        </w:rPr>
        <w:t>National Event Management Service (NEMS)</w:t>
      </w:r>
    </w:p>
    <w:p>
      <w:pPr>
        <w:pStyle w:val="ListParagraph"/>
        <w:numPr>
          <w:ilvl w:val="0"/>
          <w:numId w:val="11"/>
        </w:numPr>
        <w:spacing w:lineRule="auto" w:before="120" w:after="120"/>
        <w:rPr>
          <w:color w:val="424D58" w:themeColor="accent6"/>
          <w:spacing w:val="4"/>
          <w:kern w:val="2"/>
          <w14:ligatures w14:val="standardContextual"/>
        </w:rPr>
      </w:pPr>
      <w:r>
        <w:rPr>
          <w:color w:val="424D58" w:themeColor="accent6"/>
          <w:spacing w:val="4"/>
          <w:kern w:val="2"/>
          <w14:ligatures w14:val="standardContextual"/>
        </w:rPr>
        <w:t xml:space="preserve">Reasonable Adjustment Flag  </w:t>
      </w:r>
    </w:p>
    <w:p>
      <w:pPr>
        <w:pStyle w:val="ListParagraph"/>
        <w:numPr>
          <w:ilvl w:val="0"/>
          <w:numId w:val="11"/>
        </w:numPr>
        <w:spacing w:lineRule="auto" w:before="120" w:after="120"/>
        <w:rPr>
          <w:color w:val="424D58" w:themeColor="accent6"/>
          <w:spacing w:val="4"/>
          <w:kern w:val="2"/>
          <w14:ligatures w14:val="standardContextual"/>
        </w:rPr>
      </w:pPr>
      <w:r>
        <w:rPr>
          <w:color w:val="424D58" w:themeColor="accent6"/>
          <w:spacing w:val="4"/>
          <w:kern w:val="2"/>
          <w14:ligatures w14:val="standardContextual"/>
        </w:rPr>
        <w:t>Summary Care Record application (SCRa)</w:t>
      </w:r>
    </w:p>
    <w:p>
      <w:pPr>
        <w:pStyle w:val="Heading2"/>
        <w:numPr>
          <w:ilvl w:val="1"/>
          <w:numId w:val="4"/>
        </w:numPr>
        <w:rPr/>
      </w:pPr>
      <w:bookmarkStart w:id="14" w:name="_Ref14337853"/>
      <w:bookmarkStart w:id="15" w:name="_Toc48895913"/>
      <w:bookmarkStart w:id="16" w:name="_Toc35253945"/>
      <w:bookmarkStart w:id="17" w:name="_Toc35253775"/>
      <w:bookmarkStart w:id="18" w:name="_Toc35248554"/>
      <w:bookmarkEnd w:id="14"/>
      <w:bookmarkEnd w:id="16"/>
      <w:bookmarkEnd w:id="17"/>
      <w:bookmarkEnd w:id="18"/>
      <w:r>
        <w:rPr/>
        <w:t>Document Purpose</w:t>
      </w:r>
      <w:bookmarkEnd w:id="15"/>
    </w:p>
    <w:p>
      <w:pPr>
        <w:pStyle w:val="Normal"/>
        <w:spacing w:before="120" w:after="120"/>
        <w:rPr/>
      </w:pPr>
      <w:r>
        <w:rPr/>
        <w:t>This guide provides guidance for a health and social care organisation wishing to publish and / or subscribe to the National Events Management Service (NEMS), containing detail from initial engagement, build and test through to implementation into live.</w:t>
      </w:r>
    </w:p>
    <w:p>
      <w:pPr>
        <w:pStyle w:val="Normal"/>
        <w:spacing w:before="120" w:after="120"/>
        <w:rPr/>
      </w:pPr>
      <w:r>
        <w:rPr/>
        <w:t>It includes:</w:t>
      </w:r>
    </w:p>
    <w:p>
      <w:pPr>
        <w:pStyle w:val="ListParagraph"/>
        <w:numPr>
          <w:ilvl w:val="0"/>
          <w:numId w:val="16"/>
        </w:numPr>
        <w:spacing w:before="120" w:after="120"/>
        <w:rPr/>
      </w:pPr>
      <w:r>
        <w:rPr/>
        <w:t>Key supporting links</w:t>
      </w:r>
    </w:p>
    <w:p>
      <w:pPr>
        <w:pStyle w:val="ListParagraph"/>
        <w:numPr>
          <w:ilvl w:val="0"/>
          <w:numId w:val="16"/>
        </w:numPr>
        <w:spacing w:before="120" w:after="120"/>
        <w:rPr/>
      </w:pPr>
      <w:r>
        <w:rPr/>
        <w:t>Reference material</w:t>
      </w:r>
    </w:p>
    <w:p>
      <w:pPr>
        <w:pStyle w:val="ListParagraph"/>
        <w:numPr>
          <w:ilvl w:val="0"/>
          <w:numId w:val="16"/>
        </w:numPr>
        <w:spacing w:before="120" w:after="120"/>
        <w:rPr/>
      </w:pPr>
      <w:r>
        <w:rPr/>
        <w:t>Associated guides providing additional detail</w:t>
      </w:r>
    </w:p>
    <w:p>
      <w:pPr>
        <w:pStyle w:val="Normal"/>
        <w:spacing w:before="120" w:after="120"/>
        <w:rPr/>
      </w:pPr>
      <w:r>
        <w:rPr/>
        <w:t>Where an end user organisation is developing an in-house solution for deployment, they are both a Supplier and EUO (End User Organisation) and must complete all the required onboarding steps in both capacities.</w:t>
      </w:r>
    </w:p>
    <w:p>
      <w:pPr>
        <w:pStyle w:val="Normal"/>
        <w:spacing w:before="120" w:after="120"/>
        <w:rPr/>
      </w:pPr>
      <w:r>
        <w:rPr/>
      </w:r>
    </w:p>
    <w:p>
      <w:pPr>
        <w:pStyle w:val="Heading2"/>
        <w:numPr>
          <w:ilvl w:val="1"/>
          <w:numId w:val="4"/>
        </w:numPr>
        <w:rPr/>
      </w:pPr>
      <w:bookmarkStart w:id="19" w:name="_Toc48895914"/>
      <w:r>
        <w:rPr/>
        <w:t>Audience</w:t>
      </w:r>
      <w:bookmarkEnd w:id="19"/>
    </w:p>
    <w:p>
      <w:pPr>
        <w:pStyle w:val="Normal"/>
        <w:spacing w:before="120" w:after="120"/>
        <w:rPr/>
      </w:pPr>
      <w:r>
        <w:rPr/>
        <w:t>The intended audience for this document includes:</w:t>
      </w:r>
    </w:p>
    <w:p>
      <w:pPr>
        <w:pStyle w:val="ListParagraph"/>
        <w:numPr>
          <w:ilvl w:val="0"/>
          <w:numId w:val="20"/>
        </w:numPr>
        <w:spacing w:before="120" w:after="120"/>
        <w:rPr/>
      </w:pPr>
      <w:r>
        <w:rPr/>
        <w:t>Health and social care organisations</w:t>
      </w:r>
    </w:p>
    <w:p>
      <w:pPr>
        <w:pStyle w:val="ListParagraph"/>
        <w:numPr>
          <w:ilvl w:val="0"/>
          <w:numId w:val="20"/>
        </w:numPr>
        <w:spacing w:before="120" w:after="120"/>
        <w:rPr/>
      </w:pPr>
      <w:r>
        <w:rPr/>
        <w:t>Health and social care IT system developers and suppliers</w:t>
      </w:r>
    </w:p>
    <w:p>
      <w:pPr>
        <w:pStyle w:val="ListParagraph"/>
        <w:numPr>
          <w:ilvl w:val="0"/>
          <w:numId w:val="20"/>
        </w:numPr>
        <w:spacing w:before="120" w:after="120"/>
        <w:rPr/>
      </w:pPr>
      <w:r>
        <w:rPr/>
        <w:t>Internal NHS Digital programmes and projects</w:t>
      </w:r>
    </w:p>
    <w:p>
      <w:pPr>
        <w:pStyle w:val="Normal"/>
        <w:spacing w:before="120" w:after="120"/>
        <w:rPr>
          <w:rFonts w:cs="Arial"/>
          <w:b/>
          <w:b/>
          <w:bCs/>
          <w:color w:val="005EB8" w:themeColor="accent1"/>
          <w:spacing w:val="-14"/>
          <w:kern w:val="2"/>
          <w:sz w:val="42"/>
          <w:szCs w:val="32"/>
          <w14:ligatures w14:val="standardContextual"/>
        </w:rPr>
      </w:pPr>
      <w:r>
        <w:rPr>
          <w:rFonts w:cs="Arial"/>
          <w:b/>
          <w:bCs/>
          <w:color w:val="005EB8" w:themeColor="accent1"/>
          <w:spacing w:val="-14"/>
          <w:kern w:val="2"/>
          <w:sz w:val="42"/>
          <w:szCs w:val="32"/>
          <w14:ligatures w14:val="standardContextual"/>
        </w:rPr>
      </w:r>
      <w:bookmarkStart w:id="20" w:name="_Toc34150186"/>
      <w:bookmarkStart w:id="21" w:name="_Toc34150186"/>
      <w:r>
        <w:br w:type="page"/>
      </w:r>
    </w:p>
    <w:p>
      <w:pPr>
        <w:pStyle w:val="Heading1"/>
        <w:numPr>
          <w:ilvl w:val="0"/>
          <w:numId w:val="4"/>
        </w:numPr>
        <w:rPr/>
      </w:pPr>
      <w:bookmarkStart w:id="22" w:name="_Toc34150186"/>
      <w:bookmarkStart w:id="23" w:name="_Toc48895915"/>
      <w:r>
        <w:rPr/>
        <w:t>National Event Management Service</w:t>
      </w:r>
      <w:bookmarkEnd w:id="22"/>
      <w:bookmarkEnd w:id="23"/>
    </w:p>
    <w:p>
      <w:pPr>
        <w:pStyle w:val="Heading2"/>
        <w:numPr>
          <w:ilvl w:val="1"/>
          <w:numId w:val="4"/>
        </w:numPr>
        <w:rPr/>
      </w:pPr>
      <w:bookmarkStart w:id="24" w:name="_Toc48895916"/>
      <w:bookmarkStart w:id="25" w:name="_Toc34150187"/>
      <w:r>
        <w:rPr/>
        <w:t>Overview</w:t>
      </w:r>
      <w:bookmarkEnd w:id="24"/>
      <w:bookmarkEnd w:id="25"/>
    </w:p>
    <w:p>
      <w:pPr>
        <w:pStyle w:val="NormalWeb"/>
        <w:spacing w:lineRule="auto" w:beforeAutospacing="0" w:before="120" w:afterAutospacing="0" w:after="120"/>
        <w:rPr>
          <w:rFonts w:ascii="Arial" w:hAnsi="Arial"/>
          <w:color w:val="0F0F0F" w:themeColor="text1"/>
          <w:lang w:val="en-GB"/>
        </w:rPr>
      </w:pPr>
      <w:r>
        <w:rPr>
          <w:rFonts w:ascii="Arial" w:hAnsi="Arial"/>
          <w:color w:val="0F0F0F" w:themeColor="text1"/>
          <w:lang w:val="en-GB"/>
        </w:rPr>
        <w:t xml:space="preserve">The National Events Management Service (NEMS) is a national service implemented on the </w:t>
      </w:r>
      <w:hyperlink r:id="rId7">
        <w:r>
          <w:rPr>
            <w:rFonts w:ascii="Arial" w:hAnsi="Arial"/>
            <w:color w:val="0F0F0F" w:themeColor="text1"/>
            <w:lang w:val="en-GB"/>
          </w:rPr>
          <w:t>Spine</w:t>
        </w:r>
      </w:hyperlink>
      <w:r>
        <w:rPr>
          <w:rFonts w:ascii="Arial" w:hAnsi="Arial"/>
          <w:color w:val="0F0F0F" w:themeColor="text1"/>
          <w:lang w:val="en-GB"/>
        </w:rPr>
        <w:t xml:space="preserve"> and allows for patient-centric event messages to be published from one system and distributed to a number of other subscriber systems.</w:t>
      </w:r>
    </w:p>
    <w:p>
      <w:pPr>
        <w:pStyle w:val="NormalWeb"/>
        <w:spacing w:lineRule="auto" w:beforeAutospacing="0" w:before="120" w:afterAutospacing="0" w:after="120"/>
        <w:rPr>
          <w:rFonts w:ascii="Arial" w:hAnsi="Arial"/>
          <w:color w:val="0F0F0F" w:themeColor="text1"/>
          <w:lang w:val="en-GB"/>
        </w:rPr>
      </w:pPr>
      <w:r>
        <w:rPr>
          <w:rFonts w:ascii="Arial" w:hAnsi="Arial"/>
          <w:color w:val="0F0F0F" w:themeColor="text1"/>
          <w:lang w:val="en-GB"/>
        </w:rPr>
        <w:t>The NEMS is designed to be a generic transport mechanism which can support a variety of use cases and event types from several different care settings.</w:t>
      </w:r>
    </w:p>
    <w:p>
      <w:pPr>
        <w:pStyle w:val="NormalWeb"/>
        <w:spacing w:lineRule="auto" w:beforeAutospacing="0" w:before="120" w:afterAutospacing="0" w:after="120"/>
        <w:rPr>
          <w:rFonts w:ascii="Arial" w:hAnsi="Arial"/>
          <w:color w:val="0F0F0F" w:themeColor="text1"/>
          <w:lang w:val="en-GB"/>
        </w:rPr>
      </w:pPr>
      <w:r>
        <w:rPr>
          <w:rFonts w:ascii="Arial" w:hAnsi="Arial"/>
          <w:color w:val="0F0F0F" w:themeColor="text1"/>
          <w:lang w:val="en-GB"/>
        </w:rPr>
        <w:t>Event messages are intended to be generic (e.g. Person Demographic service (PDS) events such as Birth, Death) and for use in multiple care settings, however it is recognised that there may be some which are specific to a care setting.</w:t>
      </w:r>
    </w:p>
    <w:p>
      <w:pPr>
        <w:pStyle w:val="Normal"/>
        <w:spacing w:before="120" w:after="120"/>
        <w:rPr/>
      </w:pPr>
      <w:r>
        <w:rPr/>
        <w:t>Further detail on NEMs can be found on the Health Developer Network</w:t>
      </w:r>
      <w:r>
        <w:rPr>
          <w:rStyle w:val="FootnoteAnchor"/>
        </w:rPr>
        <w:footnoteReference w:id="4"/>
      </w:r>
      <w:r>
        <w:rPr/>
        <w:t xml:space="preserve"> and the </w:t>
      </w:r>
      <w:hyperlink r:id="rId8">
        <w:r>
          <w:rPr>
            <w:rStyle w:val="InternetLink"/>
          </w:rPr>
          <w:t>National Event Management Service</w:t>
        </w:r>
      </w:hyperlink>
      <w:r>
        <w:rPr/>
        <w:t xml:space="preserve"> section.</w:t>
      </w:r>
    </w:p>
    <w:p>
      <w:pPr>
        <w:pStyle w:val="Normal"/>
        <w:spacing w:lineRule="auto" w:before="120" w:after="120"/>
        <w:rPr/>
      </w:pPr>
      <w:r>
        <w:rPr/>
      </w:r>
    </w:p>
    <w:p>
      <w:pPr>
        <w:pStyle w:val="Heading3"/>
        <w:numPr>
          <w:ilvl w:val="2"/>
          <w:numId w:val="4"/>
        </w:numPr>
        <w:rPr/>
      </w:pPr>
      <w:bookmarkStart w:id="26" w:name="_Toc48895917"/>
      <w:bookmarkStart w:id="27" w:name="_Toc34150188"/>
      <w:bookmarkStart w:id="28" w:name="_Toc15046958"/>
      <w:r>
        <w:rPr/>
        <w:t>NEMS Vision</w:t>
      </w:r>
      <w:bookmarkEnd w:id="26"/>
      <w:bookmarkEnd w:id="27"/>
      <w:bookmarkEnd w:id="28"/>
    </w:p>
    <w:p>
      <w:pPr>
        <w:pStyle w:val="Normal"/>
        <w:spacing w:lineRule="auto" w:before="120" w:after="120"/>
        <w:rPr>
          <w:rFonts w:cs="Arial"/>
          <w:color w:val="auto"/>
        </w:rPr>
      </w:pPr>
      <w:r>
        <w:rPr>
          <w:rFonts w:cs="Arial"/>
          <w:color w:val="000000"/>
        </w:rPr>
        <w:t xml:space="preserve">For </w:t>
      </w:r>
      <w:r>
        <w:rPr>
          <w:rFonts w:cs="Arial"/>
          <w:color w:val="auto"/>
        </w:rPr>
        <w:t xml:space="preserve">Health and Social Care Professionals </w:t>
      </w:r>
      <w:r>
        <w:rPr>
          <w:rFonts w:cs="Arial"/>
          <w:color w:val="000000"/>
        </w:rPr>
        <w:t>who</w:t>
      </w:r>
      <w:r>
        <w:rPr>
          <w:rFonts w:cs="Arial"/>
          <w:color w:val="auto"/>
        </w:rPr>
        <w:t xml:space="preserve"> have a legitimate relationship with the patient / service user, </w:t>
      </w:r>
      <w:r>
        <w:rPr>
          <w:rFonts w:cs="Arial"/>
          <w:color w:val="000000"/>
        </w:rPr>
        <w:t xml:space="preserve">the </w:t>
      </w:r>
      <w:r>
        <w:rPr>
          <w:rFonts w:cs="Arial"/>
          <w:color w:val="auto"/>
        </w:rPr>
        <w:t>National Event Management Service</w:t>
      </w:r>
      <w:r>
        <w:rPr>
          <w:rFonts w:cs="Arial"/>
          <w:color w:val="000000"/>
        </w:rPr>
        <w:t xml:space="preserve"> is an</w:t>
      </w:r>
      <w:r>
        <w:rPr>
          <w:rFonts w:cs="Arial"/>
          <w:color w:val="auto"/>
        </w:rPr>
        <w:t xml:space="preserve"> event management brokerage service </w:t>
      </w:r>
      <w:r>
        <w:rPr>
          <w:rFonts w:cs="Arial"/>
          <w:color w:val="000000"/>
        </w:rPr>
        <w:t xml:space="preserve">that </w:t>
      </w:r>
      <w:r>
        <w:rPr>
          <w:rFonts w:cs="Arial"/>
          <w:color w:val="auto"/>
        </w:rPr>
        <w:t>facilitates the sharing of nationally-defined patient / service user events between approved</w:t>
      </w:r>
      <w:r>
        <w:rPr>
          <w:rStyle w:val="FootnoteAnchor"/>
          <w:rFonts w:cs="Arial"/>
          <w:color w:val="auto"/>
        </w:rPr>
        <w:footnoteReference w:id="5"/>
      </w:r>
      <w:r>
        <w:rPr>
          <w:rFonts w:cs="Arial"/>
          <w:color w:val="auto"/>
        </w:rPr>
        <w:t xml:space="preserve"> health and care organisations, services, care-settings, professionals and patients / service users in near-real time and for direct care purposes. </w:t>
      </w:r>
    </w:p>
    <w:p>
      <w:pPr>
        <w:pStyle w:val="Normal"/>
        <w:spacing w:lineRule="auto" w:before="120" w:after="120"/>
        <w:rPr>
          <w:rFonts w:cs="Arial"/>
          <w:color w:val="auto"/>
        </w:rPr>
      </w:pPr>
      <w:r>
        <w:rPr>
          <w:rFonts w:cs="Arial"/>
          <w:color w:val="000000"/>
        </w:rPr>
        <w:t xml:space="preserve">Unlike </w:t>
      </w:r>
      <w:r>
        <w:rPr>
          <w:rFonts w:cs="Arial"/>
          <w:color w:val="auto"/>
        </w:rPr>
        <w:t xml:space="preserve">the current systems and manual processes, the </w:t>
      </w:r>
      <w:r>
        <w:rPr>
          <w:rFonts w:cs="Arial"/>
          <w:color w:val="000000"/>
        </w:rPr>
        <w:t>National Event Management Service</w:t>
      </w:r>
      <w:r>
        <w:rPr>
          <w:rFonts w:cs="Arial"/>
          <w:color w:val="auto"/>
        </w:rPr>
        <w:t xml:space="preserve"> enables the flow of data automatically across organisational and service boundaries in a consistent, standardised format in near-real time.  Access to the data is securely managed and controlled and the solution underpins the delivery of national strategies and the provision of digital interoperability capabilities to the health and social care ecosystem.</w:t>
      </w:r>
    </w:p>
    <w:p>
      <w:pPr>
        <w:pStyle w:val="Normal"/>
        <w:spacing w:before="120" w:after="120"/>
        <w:rPr/>
      </w:pPr>
      <w:r>
        <w:rPr/>
      </w:r>
    </w:p>
    <w:p>
      <w:pPr>
        <w:pStyle w:val="Heading3"/>
        <w:numPr>
          <w:ilvl w:val="2"/>
          <w:numId w:val="4"/>
        </w:numPr>
        <w:rPr/>
      </w:pPr>
      <w:bookmarkStart w:id="29" w:name="_Toc48895918"/>
      <w:r>
        <w:rPr/>
        <w:t>Publish / Subscribe Pattern</w:t>
      </w:r>
      <w:bookmarkEnd w:id="29"/>
    </w:p>
    <w:p>
      <w:pPr>
        <w:pStyle w:val="Normal"/>
        <w:spacing w:lineRule="auto" w:before="120" w:after="120"/>
        <w:rPr/>
      </w:pPr>
      <w:r>
        <w:rPr/>
        <w:t>Where an application requires access to data captured and held on another application, there are five general patterns for managing this, all patterns are supported by NHS Digital and further detail can be found in the Appendix</w:t>
      </w:r>
      <w:r>
        <w:rPr>
          <w:b/>
          <w:bCs/>
        </w:rPr>
        <w:t xml:space="preserve">:  </w:t>
      </w:r>
      <w:r>
        <w:rPr/>
        <w:fldChar w:fldCharType="begin"/>
      </w:r>
      <w:r>
        <w:rPr/>
        <w:instrText> REF _Ref29288687 \h </w:instrText>
      </w:r>
      <w:r>
        <w:rPr/>
        <w:fldChar w:fldCharType="separate"/>
      </w:r>
      <w:r>
        <w:rPr/>
        <w:t>Error: Reference source not found</w:t>
      </w:r>
      <w:r>
        <w:rPr/>
        <w:fldChar w:fldCharType="end"/>
      </w:r>
      <w:r>
        <w:rPr/>
        <w:t xml:space="preserve">.  </w:t>
      </w:r>
    </w:p>
    <w:p>
      <w:pPr>
        <w:pStyle w:val="Normal"/>
        <w:spacing w:lineRule="auto" w:before="120" w:after="120"/>
        <w:rPr/>
      </w:pPr>
      <w:r>
        <w:rPr/>
        <w:t>The National Event Management Service adopts a Publish / Subscribe interoperability pattern, which means that an application that captures data publishes this to other applications referred to as subscribers.  Key characteristics of a Publish / Subscribe Pattern are:</w:t>
      </w:r>
    </w:p>
    <w:p>
      <w:pPr>
        <w:pStyle w:val="ListParagraph"/>
        <w:numPr>
          <w:ilvl w:val="0"/>
          <w:numId w:val="12"/>
        </w:numPr>
        <w:spacing w:lineRule="auto" w:before="120" w:after="120"/>
        <w:contextualSpacing/>
        <w:rPr/>
      </w:pPr>
      <w:r>
        <w:rPr/>
        <w:t>those generating the information do not typically know all those who should receive it.</w:t>
      </w:r>
    </w:p>
    <w:p>
      <w:pPr>
        <w:pStyle w:val="ListParagraph"/>
        <w:numPr>
          <w:ilvl w:val="0"/>
          <w:numId w:val="12"/>
        </w:numPr>
        <w:spacing w:lineRule="auto" w:before="120" w:after="120"/>
        <w:contextualSpacing/>
        <w:rPr/>
      </w:pPr>
      <w:r>
        <w:rPr/>
        <w:t>those receiving the information do not typically know who produced it.</w:t>
      </w:r>
    </w:p>
    <w:p>
      <w:pPr>
        <w:pStyle w:val="ListParagraph"/>
        <w:numPr>
          <w:ilvl w:val="0"/>
          <w:numId w:val="12"/>
        </w:numPr>
        <w:spacing w:lineRule="auto" w:before="120" w:after="120"/>
        <w:contextualSpacing/>
        <w:rPr/>
      </w:pPr>
      <w:r>
        <w:rPr/>
        <w:t>the recipient(s) need to be informed that an event has occurred and can't wait until they next access the patient's record.</w:t>
      </w:r>
    </w:p>
    <w:p>
      <w:pPr>
        <w:pStyle w:val="Normal"/>
        <w:spacing w:lineRule="auto" w:before="120" w:after="120"/>
        <w:ind w:left="360" w:hanging="0"/>
        <w:contextualSpacing/>
        <w:rPr/>
      </w:pPr>
      <w:r>
        <w:rPr/>
      </w:r>
    </w:p>
    <w:p>
      <w:pPr>
        <w:pStyle w:val="Normal"/>
        <w:keepNext w:val="true"/>
        <w:spacing w:before="120" w:after="120"/>
        <w:jc w:val="center"/>
        <w:rPr/>
      </w:pPr>
      <w:r>
        <w:rPr/>
        <w:drawing>
          <wp:inline distT="0" distB="0" distL="0" distR="0">
            <wp:extent cx="5290185" cy="201358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9"/>
                    <a:srcRect l="0" t="0" r="5047" b="10802"/>
                    <a:stretch>
                      <a:fillRect/>
                    </a:stretch>
                  </pic:blipFill>
                  <pic:spPr bwMode="auto">
                    <a:xfrm>
                      <a:off x="0" y="0"/>
                      <a:ext cx="5290185" cy="2013585"/>
                    </a:xfrm>
                    <a:prstGeom prst="rect">
                      <a:avLst/>
                    </a:prstGeom>
                  </pic:spPr>
                </pic:pic>
              </a:graphicData>
            </a:graphic>
          </wp:inline>
        </w:drawing>
      </w:r>
    </w:p>
    <w:p>
      <w:pPr>
        <w:pStyle w:val="Caption1"/>
        <w:spacing w:lineRule="auto" w:before="120" w:after="120"/>
        <w:jc w:val="center"/>
        <w:rPr>
          <w:i w:val="false"/>
          <w:i w:val="false"/>
          <w:iCs w:val="false"/>
          <w:sz w:val="20"/>
          <w:szCs w:val="20"/>
        </w:rPr>
      </w:pPr>
      <w:r>
        <w:rPr>
          <w:i w:val="false"/>
          <w:iCs w:val="false"/>
          <w:sz w:val="20"/>
          <w:szCs w:val="20"/>
        </w:rPr>
        <w:t xml:space="preserve">Figure </w:t>
      </w:r>
      <w:r>
        <w:rPr>
          <w:i w:val="false"/>
          <w:iCs w:val="false"/>
          <w:sz w:val="20"/>
          <w:szCs w:val="20"/>
        </w:rPr>
        <w:fldChar w:fldCharType="begin"/>
      </w:r>
      <w:r>
        <w:rPr>
          <w:sz w:val="20"/>
          <w:i w:val="false"/>
          <w:szCs w:val="20"/>
          <w:iCs w:val="false"/>
        </w:rPr>
        <w:instrText> SEQ Figure \* ARABIC </w:instrText>
      </w:r>
      <w:r>
        <w:rPr>
          <w:sz w:val="20"/>
          <w:i w:val="false"/>
          <w:szCs w:val="20"/>
          <w:iCs w:val="false"/>
        </w:rPr>
        <w:fldChar w:fldCharType="separate"/>
      </w:r>
      <w:r>
        <w:rPr>
          <w:sz w:val="20"/>
          <w:i w:val="false"/>
          <w:szCs w:val="20"/>
          <w:iCs w:val="false"/>
        </w:rPr>
        <w:t>2</w:t>
      </w:r>
      <w:r>
        <w:rPr>
          <w:sz w:val="20"/>
          <w:i w:val="false"/>
          <w:szCs w:val="20"/>
          <w:iCs w:val="false"/>
        </w:rPr>
        <w:fldChar w:fldCharType="end"/>
      </w:r>
      <w:r>
        <w:rPr>
          <w:i w:val="false"/>
          <w:iCs w:val="false"/>
          <w:sz w:val="20"/>
          <w:szCs w:val="20"/>
        </w:rPr>
        <w:t xml:space="preserve"> – High Level NEMS Flow</w:t>
      </w:r>
    </w:p>
    <w:p>
      <w:pPr>
        <w:pStyle w:val="Normal"/>
        <w:spacing w:before="120" w:after="120"/>
        <w:rPr/>
      </w:pPr>
      <w:r>
        <w:rPr/>
      </w:r>
    </w:p>
    <w:p>
      <w:pPr>
        <w:pStyle w:val="Heading2"/>
        <w:numPr>
          <w:ilvl w:val="1"/>
          <w:numId w:val="4"/>
        </w:numPr>
        <w:rPr/>
      </w:pPr>
      <w:bookmarkStart w:id="30" w:name="_Toc48895919"/>
      <w:r>
        <w:rPr/>
        <w:t>NEMS Data Flow</w:t>
      </w:r>
      <w:bookmarkEnd w:id="30"/>
    </w:p>
    <w:p>
      <w:pPr>
        <w:pStyle w:val="Normal"/>
        <w:keepNext w:val="true"/>
        <w:rPr/>
      </w:pPr>
      <w:r>
        <w:rPr/>
        <w:object>
          <v:shape id="ole_rId10" style="width:489.3pt;height:284.25pt" o:ole="">
            <v:imagedata r:id="rId11" o:title=""/>
          </v:shape>
          <o:OLEObject Type="Embed" ProgID="Visio.Drawing.15" ShapeID="ole_rId10" DrawAspect="Content" ObjectID="_2022130513" r:id="rId10"/>
        </w:object>
      </w:r>
    </w:p>
    <w:p>
      <w:pPr>
        <w:pStyle w:val="Caption1"/>
        <w:spacing w:lineRule="auto" w:before="120" w:after="120"/>
        <w:jc w:val="center"/>
        <w:rPr>
          <w:i w:val="false"/>
          <w:i w:val="false"/>
          <w:iCs w:val="false"/>
          <w:sz w:val="20"/>
          <w:szCs w:val="20"/>
        </w:rPr>
      </w:pPr>
      <w:r>
        <w:rPr>
          <w:i w:val="false"/>
          <w:iCs w:val="false"/>
          <w:sz w:val="20"/>
          <w:szCs w:val="20"/>
        </w:rPr>
        <w:t xml:space="preserve">Figure </w:t>
      </w:r>
      <w:r>
        <w:rPr>
          <w:i w:val="false"/>
          <w:iCs w:val="false"/>
          <w:sz w:val="20"/>
          <w:szCs w:val="20"/>
        </w:rPr>
        <w:fldChar w:fldCharType="begin"/>
      </w:r>
      <w:r>
        <w:rPr>
          <w:sz w:val="20"/>
          <w:i w:val="false"/>
          <w:szCs w:val="20"/>
          <w:iCs w:val="false"/>
        </w:rPr>
        <w:instrText> SEQ Figure \* ARABIC </w:instrText>
      </w:r>
      <w:r>
        <w:rPr>
          <w:sz w:val="20"/>
          <w:i w:val="false"/>
          <w:szCs w:val="20"/>
          <w:iCs w:val="false"/>
        </w:rPr>
        <w:fldChar w:fldCharType="separate"/>
      </w:r>
      <w:r>
        <w:rPr>
          <w:sz w:val="20"/>
          <w:i w:val="false"/>
          <w:szCs w:val="20"/>
          <w:iCs w:val="false"/>
        </w:rPr>
        <w:t>3</w:t>
      </w:r>
      <w:r>
        <w:rPr>
          <w:sz w:val="20"/>
          <w:i w:val="false"/>
          <w:szCs w:val="20"/>
          <w:iCs w:val="false"/>
        </w:rPr>
        <w:fldChar w:fldCharType="end"/>
      </w:r>
      <w:r>
        <w:rPr>
          <w:i w:val="false"/>
          <w:iCs w:val="false"/>
          <w:sz w:val="20"/>
          <w:szCs w:val="20"/>
        </w:rPr>
        <w:t xml:space="preserve"> - NEMS Data Flow Diagram</w:t>
      </w:r>
    </w:p>
    <w:p>
      <w:pPr>
        <w:pStyle w:val="Normal"/>
        <w:rPr/>
      </w:pPr>
      <w:r>
        <w:rPr/>
      </w:r>
    </w:p>
    <w:p>
      <w:pPr>
        <w:pStyle w:val="Heading2"/>
        <w:numPr>
          <w:ilvl w:val="1"/>
          <w:numId w:val="4"/>
        </w:numPr>
        <w:rPr/>
      </w:pPr>
      <w:bookmarkStart w:id="31" w:name="_Toc48895920"/>
      <w:r>
        <w:rPr/>
        <w:t>NEMS Eligibility</w:t>
      </w:r>
      <w:bookmarkEnd w:id="31"/>
    </w:p>
    <w:p>
      <w:pPr>
        <w:pStyle w:val="Normal"/>
        <w:spacing w:before="120" w:after="120"/>
        <w:rPr/>
      </w:pPr>
      <w:r>
        <w:rPr/>
        <w:t xml:space="preserve">As the National Event Management Service is a data-sharing capability, governance and assurance controls exist to ensure that only eligible health and social care organisations wishing to publish or subscribe to NEMS are approved to do so.  </w:t>
      </w:r>
    </w:p>
    <w:p>
      <w:pPr>
        <w:pStyle w:val="Normal"/>
        <w:spacing w:before="120" w:after="120"/>
        <w:rPr/>
      </w:pPr>
      <w:r>
        <w:rPr/>
        <w:t>These controls ensure that information sharing requests are in keeping with NHS Digital’s information governance requirements and the DIP Direction.</w:t>
      </w:r>
    </w:p>
    <w:p>
      <w:pPr>
        <w:pStyle w:val="Normal"/>
        <w:spacing w:before="120" w:after="120"/>
        <w:rPr/>
      </w:pPr>
      <w:r>
        <w:rPr/>
        <w:t>Requests to publish or subscribe to existing events or to share new or changed ‘information flows’</w:t>
      </w:r>
      <w:r>
        <w:rPr>
          <w:rStyle w:val="FootnoteAnchor"/>
        </w:rPr>
        <w:footnoteReference w:id="6"/>
      </w:r>
      <w:r>
        <w:rPr/>
        <w:t xml:space="preserve"> are managed through the Interoperability Working Group and are triggered by the submission of an Information Flow Request form (available via: </w:t>
      </w:r>
      <w:hyperlink r:id="rId12">
        <w:r>
          <w:rPr>
            <w:rStyle w:val="InternetLink"/>
          </w:rPr>
          <w:t>LS.iwg@nhs.net</w:t>
        </w:r>
      </w:hyperlink>
      <w:hyperlink r:id="rId13">
        <w:r>
          <w:rPr/>
          <w:t xml:space="preserve">). </w:t>
        </w:r>
      </w:hyperlink>
    </w:p>
    <w:p>
      <w:pPr>
        <w:pStyle w:val="Normal"/>
        <w:spacing w:before="120" w:after="120"/>
        <w:rPr/>
      </w:pPr>
      <w:r>
        <w:rPr/>
        <w:t>Requests are assessed by a multidisciplinary team with representation from the business, clinical safety, information governance and technical architecture to determine:</w:t>
      </w:r>
    </w:p>
    <w:p>
      <w:pPr>
        <w:pStyle w:val="ListParagraph"/>
        <w:numPr>
          <w:ilvl w:val="0"/>
          <w:numId w:val="22"/>
        </w:numPr>
        <w:spacing w:before="120" w:after="120"/>
        <w:rPr/>
      </w:pPr>
      <w:r>
        <w:rPr/>
        <w:t>Validity of the sharing request</w:t>
      </w:r>
    </w:p>
    <w:p>
      <w:pPr>
        <w:pStyle w:val="ListParagraph"/>
        <w:numPr>
          <w:ilvl w:val="0"/>
          <w:numId w:val="22"/>
        </w:numPr>
        <w:spacing w:before="120" w:after="120"/>
        <w:rPr/>
      </w:pPr>
      <w:r>
        <w:rPr/>
        <w:t>Necessity, proportionality, and lawful basis</w:t>
      </w:r>
    </w:p>
    <w:p>
      <w:pPr>
        <w:pStyle w:val="ListParagraph"/>
        <w:numPr>
          <w:ilvl w:val="0"/>
          <w:numId w:val="22"/>
        </w:numPr>
        <w:spacing w:before="120" w:after="120"/>
        <w:rPr/>
      </w:pPr>
      <w:r>
        <w:rPr/>
        <w:t>The organisation’s and it’s end user’s appropriateness for the sharing of the information</w:t>
      </w:r>
    </w:p>
    <w:p>
      <w:pPr>
        <w:pStyle w:val="ListParagraph"/>
        <w:numPr>
          <w:ilvl w:val="0"/>
          <w:numId w:val="22"/>
        </w:numPr>
        <w:spacing w:before="120" w:after="120"/>
        <w:rPr/>
      </w:pPr>
      <w:r>
        <w:rPr/>
        <w:t>Appropriate architectural pattern to apply based on the end user needs</w:t>
      </w:r>
    </w:p>
    <w:p>
      <w:pPr>
        <w:pStyle w:val="Normal"/>
        <w:spacing w:before="120" w:after="120"/>
        <w:rPr/>
      </w:pPr>
      <w:r>
        <w:rPr/>
        <w:t>The current scope of the Working Group is the National Events Management Service (NEMS) and the National Record Locator (NRL) service, other capabilities and services may be brought under the remit of the Working Group in the future.</w:t>
      </w:r>
    </w:p>
    <w:p>
      <w:pPr>
        <w:pStyle w:val="Normal"/>
        <w:spacing w:before="120" w:after="120"/>
        <w:rPr/>
      </w:pPr>
      <w:r>
        <w:rPr/>
      </w:r>
    </w:p>
    <w:p>
      <w:pPr>
        <w:pStyle w:val="Heading2"/>
        <w:numPr>
          <w:ilvl w:val="1"/>
          <w:numId w:val="4"/>
        </w:numPr>
        <w:rPr/>
      </w:pPr>
      <w:bookmarkStart w:id="32" w:name="_Toc48895921"/>
      <w:r>
        <w:rPr/>
        <w:t>NEMS Principles</w:t>
      </w:r>
      <w:bookmarkEnd w:id="32"/>
    </w:p>
    <w:p>
      <w:pPr>
        <w:pStyle w:val="ListParagraph"/>
        <w:numPr>
          <w:ilvl w:val="0"/>
          <w:numId w:val="21"/>
        </w:numPr>
        <w:spacing w:before="120" w:after="120"/>
        <w:rPr/>
      </w:pPr>
      <w:r>
        <w:rPr/>
        <w:t>Genericity of events is maintained where possible to support reuse across eligible health and social care systems.</w:t>
      </w:r>
    </w:p>
    <w:p>
      <w:pPr>
        <w:pStyle w:val="ListParagraph"/>
        <w:numPr>
          <w:ilvl w:val="0"/>
          <w:numId w:val="21"/>
        </w:numPr>
        <w:spacing w:before="120" w:after="120"/>
        <w:rPr/>
      </w:pPr>
      <w:r>
        <w:rPr/>
        <w:t>New or changed requests to share information are fit for use and fit for purpose by users</w:t>
      </w:r>
    </w:p>
    <w:p>
      <w:pPr>
        <w:pStyle w:val="ListParagraph"/>
        <w:numPr>
          <w:ilvl w:val="0"/>
          <w:numId w:val="21"/>
        </w:numPr>
        <w:spacing w:before="120" w:after="120"/>
        <w:rPr/>
      </w:pPr>
      <w:r>
        <w:rPr/>
        <w:t>Use of NEMS</w:t>
      </w:r>
    </w:p>
    <w:p>
      <w:pPr>
        <w:pStyle w:val="ListParagraph"/>
        <w:numPr>
          <w:ilvl w:val="2"/>
          <w:numId w:val="21"/>
        </w:numPr>
        <w:spacing w:before="120" w:after="120"/>
        <w:rPr/>
      </w:pPr>
      <w:r>
        <w:rPr/>
        <w:t xml:space="preserve">Aligns to the architectural principles </w:t>
      </w:r>
    </w:p>
    <w:p>
      <w:pPr>
        <w:pStyle w:val="ListParagraph"/>
        <w:numPr>
          <w:ilvl w:val="2"/>
          <w:numId w:val="21"/>
        </w:numPr>
        <w:spacing w:before="120" w:after="120"/>
        <w:rPr/>
      </w:pPr>
      <w:r>
        <w:rPr/>
        <w:t>Is underpinned by the appropriate information governance artefacts</w:t>
      </w:r>
    </w:p>
    <w:p>
      <w:pPr>
        <w:pStyle w:val="ListParagraph"/>
        <w:numPr>
          <w:ilvl w:val="2"/>
          <w:numId w:val="21"/>
        </w:numPr>
        <w:spacing w:before="120" w:after="120"/>
        <w:rPr/>
      </w:pPr>
      <w:r>
        <w:rPr/>
        <w:t>Supports clinical safety</w:t>
      </w:r>
    </w:p>
    <w:p>
      <w:pPr>
        <w:pStyle w:val="ListParagraph"/>
        <w:numPr>
          <w:ilvl w:val="2"/>
          <w:numId w:val="21"/>
        </w:numPr>
        <w:spacing w:before="120" w:after="120"/>
        <w:rPr/>
      </w:pPr>
      <w:r>
        <w:rPr/>
        <w:t>Is for direct care purposes</w:t>
      </w:r>
    </w:p>
    <w:p>
      <w:pPr>
        <w:pStyle w:val="Normal"/>
        <w:rPr/>
      </w:pPr>
      <w:r>
        <w:rPr/>
      </w:r>
    </w:p>
    <w:p>
      <w:pPr>
        <w:pStyle w:val="Heading2"/>
        <w:numPr>
          <w:ilvl w:val="1"/>
          <w:numId w:val="4"/>
        </w:numPr>
        <w:rPr/>
      </w:pPr>
      <w:bookmarkStart w:id="33" w:name="_Toc48895922"/>
      <w:r>
        <w:rPr/>
        <w:t>NEMS Prerequisites</w:t>
      </w:r>
      <w:bookmarkEnd w:id="33"/>
    </w:p>
    <w:p>
      <w:pPr>
        <w:pStyle w:val="Normal"/>
        <w:spacing w:before="120" w:after="120"/>
        <w:rPr>
          <w:color w:val="auto"/>
        </w:rPr>
      </w:pPr>
      <w:r>
        <w:rPr>
          <w:color w:val="auto"/>
        </w:rPr>
        <w:t>The pre-requisites are contained in detail in the Supplier Conformance Assessment List (SCAL) as are the business requirements, however key items have been summarised here to help connecting parties identify potential showstoppers at an early stage.</w:t>
      </w:r>
    </w:p>
    <w:p>
      <w:pPr>
        <w:pStyle w:val="Normal"/>
        <w:spacing w:before="120" w:after="120"/>
        <w:rPr>
          <w:b/>
          <w:b/>
          <w:bCs/>
          <w:color w:val="auto"/>
        </w:rPr>
      </w:pPr>
      <w:r>
        <w:rPr>
          <w:b/>
          <w:bCs/>
          <w:color w:val="auto"/>
        </w:rPr>
      </w:r>
    </w:p>
    <w:p>
      <w:pPr>
        <w:pStyle w:val="Normal"/>
        <w:spacing w:before="120" w:after="120"/>
        <w:rPr>
          <w:b/>
          <w:b/>
          <w:bCs/>
          <w:color w:val="auto"/>
        </w:rPr>
      </w:pPr>
      <w:r>
        <w:rPr>
          <w:b/>
          <w:bCs/>
          <w:color w:val="auto"/>
        </w:rPr>
        <w:t>Technical</w:t>
      </w:r>
    </w:p>
    <w:p>
      <w:pPr>
        <w:pStyle w:val="ListParagraph"/>
        <w:numPr>
          <w:ilvl w:val="0"/>
          <w:numId w:val="3"/>
        </w:numPr>
        <w:spacing w:before="120" w:after="120"/>
        <w:rPr/>
      </w:pPr>
      <w:r>
        <w:rPr/>
        <w:t>PDS Compliancy</w:t>
      </w:r>
    </w:p>
    <w:p>
      <w:pPr>
        <w:pStyle w:val="ListParagraph"/>
        <w:numPr>
          <w:ilvl w:val="0"/>
          <w:numId w:val="3"/>
        </w:numPr>
        <w:spacing w:before="120" w:after="120"/>
        <w:rPr/>
      </w:pPr>
      <w:r>
        <w:rPr/>
        <w:t>Penetration Testing</w:t>
      </w:r>
    </w:p>
    <w:p>
      <w:pPr>
        <w:pStyle w:val="ListParagraph"/>
        <w:numPr>
          <w:ilvl w:val="0"/>
          <w:numId w:val="3"/>
        </w:numPr>
        <w:spacing w:before="120" w:after="120"/>
        <w:rPr/>
      </w:pPr>
      <w:r>
        <w:rPr/>
        <w:t xml:space="preserve">A valid ODS (Organisation Data Service) code is required for the connecting party). The ODS Portal indicates if an organisation has a registered code: </w:t>
      </w:r>
      <w:hyperlink r:id="rId14">
        <w:r>
          <w:rPr>
            <w:rStyle w:val="InternetLink"/>
          </w:rPr>
          <w:t>https://odsportal.hscic.gov.uk/Organisation/Search</w:t>
        </w:r>
      </w:hyperlink>
    </w:p>
    <w:p>
      <w:pPr>
        <w:pStyle w:val="ListParagraph"/>
        <w:numPr>
          <w:ilvl w:val="0"/>
          <w:numId w:val="3"/>
        </w:numPr>
        <w:spacing w:before="120" w:after="120"/>
        <w:rPr/>
      </w:pPr>
      <w:r>
        <w:rPr/>
        <w:t>N3 or HSCN connection. This is required for both live service and the online testing process.</w:t>
      </w:r>
    </w:p>
    <w:p>
      <w:pPr>
        <w:pStyle w:val="ListParagraph"/>
        <w:numPr>
          <w:ilvl w:val="0"/>
          <w:numId w:val="3"/>
        </w:numPr>
        <w:spacing w:before="120" w:after="120"/>
        <w:rPr/>
      </w:pPr>
      <w:r>
        <w:rPr/>
        <w:t xml:space="preserve">A valid NHS Smartcard for all users or a system that uses an authentication method supported by NHS </w:t>
      </w:r>
      <w:r>
        <w:rPr>
          <w:color w:val="auto"/>
        </w:rPr>
        <w:t xml:space="preserve">Identity or NHS Login.  For </w:t>
      </w:r>
      <w:r>
        <w:rPr/>
        <w:t xml:space="preserve">more information about SmartCards, see </w:t>
      </w:r>
      <w:hyperlink r:id="rId15">
        <w:r>
          <w:rPr>
            <w:rStyle w:val="InternetLink"/>
          </w:rPr>
          <w:t>https://developer.nhs.uk/apis/spine-core/smartcards.html</w:t>
        </w:r>
      </w:hyperlink>
      <w:r>
        <w:rPr/>
        <w:t xml:space="preserve"> </w:t>
      </w:r>
    </w:p>
    <w:p>
      <w:pPr>
        <w:pStyle w:val="Normal"/>
        <w:spacing w:before="120" w:after="120"/>
        <w:ind w:left="360" w:hanging="0"/>
        <w:rPr>
          <w:b/>
          <w:b/>
          <w:bCs/>
        </w:rPr>
      </w:pPr>
      <w:r>
        <w:rPr>
          <w:b/>
          <w:bCs/>
        </w:rPr>
      </w:r>
    </w:p>
    <w:p>
      <w:pPr>
        <w:pStyle w:val="Normal"/>
        <w:spacing w:before="120" w:after="120"/>
        <w:rPr>
          <w:b/>
          <w:b/>
          <w:bCs/>
        </w:rPr>
      </w:pPr>
      <w:r>
        <w:rPr>
          <w:b/>
          <w:bCs/>
        </w:rPr>
        <w:t>Information Governance</w:t>
      </w:r>
    </w:p>
    <w:p>
      <w:pPr>
        <w:pStyle w:val="ListParagraph"/>
        <w:numPr>
          <w:ilvl w:val="0"/>
          <w:numId w:val="14"/>
        </w:numPr>
        <w:spacing w:before="120" w:after="120"/>
        <w:rPr/>
      </w:pPr>
      <w:r>
        <w:rPr/>
        <w:t>An organisation must have completed the DSPT (Data Security Protection Toolkit) within the last 12 months (</w:t>
      </w:r>
      <w:hyperlink r:id="rId16">
        <w:r>
          <w:rPr>
            <w:rStyle w:val="InternetLink"/>
          </w:rPr>
          <w:t>https://www.dsptoolkit.nhs.uk</w:t>
        </w:r>
      </w:hyperlink>
      <w:r>
        <w:rPr/>
        <w:t>).</w:t>
      </w:r>
    </w:p>
    <w:p>
      <w:pPr>
        <w:pStyle w:val="Normal"/>
        <w:spacing w:before="120" w:after="120"/>
        <w:ind w:left="360" w:hanging="0"/>
        <w:rPr>
          <w:b/>
          <w:b/>
          <w:bCs/>
        </w:rPr>
      </w:pPr>
      <w:r>
        <w:rPr>
          <w:b/>
          <w:bCs/>
        </w:rPr>
      </w:r>
    </w:p>
    <w:p>
      <w:pPr>
        <w:pStyle w:val="Normal"/>
        <w:spacing w:before="120" w:after="120"/>
        <w:rPr>
          <w:b/>
          <w:b/>
          <w:bCs/>
        </w:rPr>
      </w:pPr>
      <w:r>
        <w:rPr>
          <w:b/>
          <w:bCs/>
        </w:rPr>
        <w:t>Clinical Safety</w:t>
      </w:r>
    </w:p>
    <w:p>
      <w:pPr>
        <w:pStyle w:val="ListParagraph"/>
        <w:numPr>
          <w:ilvl w:val="0"/>
          <w:numId w:val="15"/>
        </w:numPr>
        <w:spacing w:before="120" w:after="120"/>
        <w:rPr/>
      </w:pPr>
      <w:r>
        <w:rPr/>
        <w:t>Connecting parties must have an appointed Clinical Safety Officer and undertake a Clinical Safety Assessment prior to going live.</w:t>
      </w:r>
    </w:p>
    <w:p>
      <w:pPr>
        <w:pStyle w:val="Normal"/>
        <w:spacing w:before="0" w:after="0"/>
        <w:rPr>
          <w:rFonts w:cs="Arial"/>
          <w:bCs/>
          <w:color w:val="005EB8" w:themeColor="accent1"/>
          <w:spacing w:val="-14"/>
          <w:kern w:val="2"/>
          <w:sz w:val="42"/>
          <w:szCs w:val="32"/>
          <w:highlight w:val="lightGray"/>
          <w14:ligatures w14:val="standardContextual"/>
        </w:rPr>
      </w:pPr>
      <w:r>
        <w:rPr>
          <w:rFonts w:cs="Arial"/>
          <w:bCs/>
          <w:color w:val="005EB8" w:themeColor="accent1"/>
          <w:spacing w:val="-14"/>
          <w:kern w:val="2"/>
          <w:sz w:val="42"/>
          <w:szCs w:val="32"/>
          <w:highlight w:val="lightGray"/>
          <w14:ligatures w14:val="standardContextual"/>
        </w:rPr>
      </w:r>
      <w:r>
        <w:br w:type="page"/>
      </w:r>
    </w:p>
    <w:p>
      <w:pPr>
        <w:pStyle w:val="Heading1"/>
        <w:numPr>
          <w:ilvl w:val="0"/>
          <w:numId w:val="4"/>
        </w:numPr>
        <w:rPr/>
      </w:pPr>
      <w:bookmarkStart w:id="34" w:name="_Toc48895923"/>
      <w:r>
        <w:rPr/>
        <w:t>NEMS Functionality</w:t>
      </w:r>
      <w:bookmarkEnd w:id="34"/>
    </w:p>
    <w:p>
      <w:pPr>
        <w:pStyle w:val="Heading2"/>
        <w:numPr>
          <w:ilvl w:val="1"/>
          <w:numId w:val="4"/>
        </w:numPr>
        <w:rPr/>
      </w:pPr>
      <w:bookmarkStart w:id="35" w:name="_Toc37167687"/>
      <w:bookmarkStart w:id="36" w:name="_Toc48895924"/>
      <w:r>
        <w:rPr/>
        <w:t>Overview</w:t>
      </w:r>
      <w:bookmarkEnd w:id="36"/>
    </w:p>
    <w:p>
      <w:pPr>
        <w:pStyle w:val="Normal"/>
        <w:spacing w:before="120" w:after="120"/>
        <w:rPr/>
      </w:pPr>
      <w:r>
        <w:rPr/>
        <w:t>An approved organisation may be a NEMS publisher, subscriber or both, the functionality to be developed is summarised as:</w:t>
      </w:r>
    </w:p>
    <w:p>
      <w:pPr>
        <w:pStyle w:val="ListParagraph"/>
        <w:numPr>
          <w:ilvl w:val="0"/>
          <w:numId w:val="13"/>
        </w:numPr>
        <w:spacing w:before="120" w:after="120"/>
        <w:rPr/>
      </w:pPr>
      <w:r>
        <w:rPr/>
        <w:t>NEMS Subscription API</w:t>
      </w:r>
    </w:p>
    <w:p>
      <w:pPr>
        <w:pStyle w:val="ListParagraph"/>
        <w:numPr>
          <w:ilvl w:val="1"/>
          <w:numId w:val="13"/>
        </w:numPr>
        <w:spacing w:before="0" w:after="0"/>
        <w:rPr>
          <w:rFonts w:ascii="Calibri" w:hAnsi="Calibri"/>
          <w:color w:val="auto"/>
          <w:sz w:val="22"/>
          <w:szCs w:val="22"/>
        </w:rPr>
      </w:pPr>
      <w:r>
        <w:rPr/>
        <w:t>Creation and deletion of subscriptions</w:t>
      </w:r>
    </w:p>
    <w:p>
      <w:pPr>
        <w:pStyle w:val="ListParagraph"/>
        <w:numPr>
          <w:ilvl w:val="1"/>
          <w:numId w:val="13"/>
        </w:numPr>
        <w:spacing w:before="0" w:after="0"/>
        <w:rPr/>
      </w:pPr>
      <w:r>
        <w:rPr/>
        <w:t>Auditing of the management of subscriptions</w:t>
      </w:r>
    </w:p>
    <w:p>
      <w:pPr>
        <w:pStyle w:val="ListParagraph"/>
        <w:numPr>
          <w:ilvl w:val="1"/>
          <w:numId w:val="13"/>
        </w:numPr>
        <w:spacing w:before="0" w:after="0"/>
        <w:rPr/>
      </w:pPr>
      <w:r>
        <w:rPr/>
        <w:t>Verification of NHS number prior to subscription creation</w:t>
      </w:r>
    </w:p>
    <w:p>
      <w:pPr>
        <w:pStyle w:val="ListParagraph"/>
        <w:numPr>
          <w:ilvl w:val="1"/>
          <w:numId w:val="13"/>
        </w:numPr>
        <w:spacing w:before="0" w:after="0"/>
        <w:rPr/>
      </w:pPr>
      <w:r>
        <w:rPr/>
        <w:t>Conformance to the Information Governance requirements</w:t>
      </w:r>
    </w:p>
    <w:p>
      <w:pPr>
        <w:pStyle w:val="ListParagraph"/>
        <w:numPr>
          <w:ilvl w:val="0"/>
          <w:numId w:val="13"/>
        </w:numPr>
        <w:spacing w:before="120" w:after="120"/>
        <w:rPr/>
      </w:pPr>
      <w:r>
        <w:rPr/>
        <w:t>NEMS Publisher</w:t>
      </w:r>
    </w:p>
    <w:p>
      <w:pPr>
        <w:pStyle w:val="ListParagraph"/>
        <w:numPr>
          <w:ilvl w:val="1"/>
          <w:numId w:val="13"/>
        </w:numPr>
        <w:spacing w:before="0" w:after="0"/>
        <w:rPr/>
      </w:pPr>
      <w:r>
        <w:rPr/>
        <w:t>Auditing of the published messages</w:t>
      </w:r>
    </w:p>
    <w:p>
      <w:pPr>
        <w:pStyle w:val="ListParagraph"/>
        <w:numPr>
          <w:ilvl w:val="1"/>
          <w:numId w:val="13"/>
        </w:numPr>
        <w:spacing w:before="0" w:after="0"/>
        <w:rPr/>
      </w:pPr>
      <w:r>
        <w:rPr/>
        <w:t xml:space="preserve">Verification of NHS number prior to publishing </w:t>
      </w:r>
    </w:p>
    <w:p>
      <w:pPr>
        <w:pStyle w:val="ListParagraph"/>
        <w:numPr>
          <w:ilvl w:val="1"/>
          <w:numId w:val="13"/>
        </w:numPr>
        <w:spacing w:before="0" w:after="0"/>
        <w:rPr/>
      </w:pPr>
      <w:r>
        <w:rPr/>
        <w:t xml:space="preserve">Conformance to the specific event construction and content </w:t>
      </w:r>
    </w:p>
    <w:p>
      <w:pPr>
        <w:pStyle w:val="ListParagraph"/>
        <w:numPr>
          <w:ilvl w:val="1"/>
          <w:numId w:val="13"/>
        </w:numPr>
        <w:spacing w:before="0" w:after="0"/>
        <w:rPr/>
      </w:pPr>
      <w:r>
        <w:rPr/>
        <w:t>Conformance to the Information Governance requirements</w:t>
      </w:r>
    </w:p>
    <w:p>
      <w:pPr>
        <w:pStyle w:val="ListParagraph"/>
        <w:numPr>
          <w:ilvl w:val="0"/>
          <w:numId w:val="13"/>
        </w:numPr>
        <w:spacing w:before="120" w:after="120"/>
        <w:rPr/>
      </w:pPr>
      <w:r>
        <w:rPr/>
        <w:t>NEMS Event Receiver</w:t>
      </w:r>
    </w:p>
    <w:p>
      <w:pPr>
        <w:pStyle w:val="ListParagraph"/>
        <w:numPr>
          <w:ilvl w:val="1"/>
          <w:numId w:val="13"/>
        </w:numPr>
        <w:spacing w:before="0" w:after="0"/>
        <w:rPr>
          <w:rFonts w:ascii="Calibri" w:hAnsi="Calibri"/>
          <w:color w:val="auto"/>
          <w:sz w:val="22"/>
          <w:szCs w:val="22"/>
        </w:rPr>
      </w:pPr>
      <w:r>
        <w:rPr/>
        <w:t>Audit of message processing</w:t>
      </w:r>
    </w:p>
    <w:p>
      <w:pPr>
        <w:pStyle w:val="ListParagraph"/>
        <w:numPr>
          <w:ilvl w:val="1"/>
          <w:numId w:val="13"/>
        </w:numPr>
        <w:spacing w:before="0" w:after="0"/>
        <w:rPr/>
      </w:pPr>
      <w:r>
        <w:rPr/>
        <w:t>Audit of user access to the data received</w:t>
      </w:r>
    </w:p>
    <w:p>
      <w:pPr>
        <w:pStyle w:val="ListParagraph"/>
        <w:numPr>
          <w:ilvl w:val="1"/>
          <w:numId w:val="13"/>
        </w:numPr>
        <w:spacing w:before="0" w:after="0"/>
        <w:rPr/>
      </w:pPr>
      <w:r>
        <w:rPr/>
        <w:t>Conformance to the Information Governance requirements</w:t>
      </w:r>
    </w:p>
    <w:p>
      <w:pPr>
        <w:pStyle w:val="Normal"/>
        <w:spacing w:before="120" w:after="120"/>
        <w:ind w:left="360" w:hanging="0"/>
        <w:rPr/>
      </w:pPr>
      <w:r>
        <w:rPr/>
      </w:r>
    </w:p>
    <w:tbl>
      <w:tblPr>
        <w:tblStyle w:val="ListTable3-Accent1"/>
        <w:tblW w:w="9634" w:type="dxa"/>
        <w:jc w:val="left"/>
        <w:tblInd w:w="0" w:type="dxa"/>
        <w:tblCellMar>
          <w:top w:w="0" w:type="dxa"/>
          <w:left w:w="108" w:type="dxa"/>
          <w:bottom w:w="0" w:type="dxa"/>
          <w:right w:w="108" w:type="dxa"/>
        </w:tblCellMar>
        <w:tblLook w:firstRow="1" w:noVBand="1" w:lastRow="0" w:firstColumn="0" w:lastColumn="0" w:noHBand="0" w:val="0420"/>
      </w:tblPr>
      <w:tblGrid>
        <w:gridCol w:w="2263"/>
        <w:gridCol w:w="2456"/>
        <w:gridCol w:w="2458"/>
        <w:gridCol w:w="2456"/>
      </w:tblGrid>
      <w:tr>
        <w:trPr>
          <w:trHeight w:val="707" w:hRule="atLeast"/>
          <w:cnfStyle w:val="100000000000" w:firstRow="1" w:lastRow="0" w:firstColumn="0" w:lastColumn="0" w:oddVBand="0" w:evenVBand="0" w:oddHBand="0" w:evenHBand="0" w:firstRowFirstColumn="0" w:firstRowLastColumn="0" w:lastRowFirstColumn="0" w:lastRowLastColumn="0"/>
        </w:trPr>
        <w:tc>
          <w:tcPr>
            <w:tcW w:w="2263" w:type="dxa"/>
            <w:vMerge w:val="restart"/>
            <w:tcBorders>
              <w:bottom w:val="nil"/>
              <w:right w:val="nil"/>
            </w:tcBorders>
            <w:shd w:color="auto" w:fill="005EB8" w:themeFill="accent1" w:val="clear"/>
            <w:vAlign w:val="bottom"/>
          </w:tcPr>
          <w:p>
            <w:pPr>
              <w:pStyle w:val="Normal"/>
              <w:spacing w:before="120" w:after="120"/>
              <w:jc w:val="center"/>
              <w:rPr>
                <w:color w:val="FFFFFF" w:themeColor="background1"/>
                <w:sz w:val="20"/>
                <w:szCs w:val="20"/>
              </w:rPr>
            </w:pPr>
            <w:r>
              <w:rPr>
                <w:b/>
                <w:bCs/>
                <w:color w:val="FFFFFF" w:themeColor="background1"/>
                <w:sz w:val="20"/>
                <w:szCs w:val="20"/>
              </w:rPr>
              <w:t>Key Technical Requirements</w:t>
            </w:r>
          </w:p>
        </w:tc>
        <w:tc>
          <w:tcPr>
            <w:tcW w:w="2456" w:type="dxa"/>
            <w:tcBorders>
              <w:left w:val="nil"/>
              <w:bottom w:val="nil"/>
              <w:right w:val="nil"/>
            </w:tcBorders>
            <w:shd w:color="auto" w:fill="005EB8" w:themeFill="accent1" w:val="clear"/>
            <w:vAlign w:val="center"/>
          </w:tcPr>
          <w:p>
            <w:pPr>
              <w:pStyle w:val="Normal"/>
              <w:spacing w:before="120" w:after="120"/>
              <w:jc w:val="center"/>
              <w:rPr>
                <w:color w:val="FFFFFF" w:themeColor="background1"/>
                <w:sz w:val="20"/>
                <w:szCs w:val="20"/>
              </w:rPr>
            </w:pPr>
            <w:r>
              <w:rPr>
                <w:b/>
                <w:bCs/>
                <w:color w:val="FFFFFF" w:themeColor="background1"/>
                <w:sz w:val="20"/>
                <w:szCs w:val="20"/>
              </w:rPr>
              <w:t>NEMS Subscription</w:t>
            </w:r>
          </w:p>
        </w:tc>
        <w:tc>
          <w:tcPr>
            <w:tcW w:w="2458" w:type="dxa"/>
            <w:tcBorders>
              <w:left w:val="nil"/>
              <w:bottom w:val="nil"/>
              <w:right w:val="nil"/>
            </w:tcBorders>
            <w:shd w:color="auto" w:fill="005EB8" w:themeFill="accent1" w:val="clear"/>
            <w:vAlign w:val="center"/>
          </w:tcPr>
          <w:p>
            <w:pPr>
              <w:pStyle w:val="Normal"/>
              <w:spacing w:before="120" w:after="120"/>
              <w:jc w:val="center"/>
              <w:rPr>
                <w:color w:val="FFFFFF" w:themeColor="background1"/>
                <w:sz w:val="20"/>
                <w:szCs w:val="20"/>
              </w:rPr>
            </w:pPr>
            <w:r>
              <w:rPr>
                <w:b/>
                <w:bCs/>
                <w:color w:val="FFFFFF" w:themeColor="background1"/>
                <w:sz w:val="20"/>
                <w:szCs w:val="20"/>
              </w:rPr>
              <w:t>NEMS Publisher API</w:t>
            </w:r>
          </w:p>
        </w:tc>
        <w:tc>
          <w:tcPr>
            <w:tcW w:w="2456" w:type="dxa"/>
            <w:tcBorders>
              <w:left w:val="nil"/>
              <w:bottom w:val="nil"/>
            </w:tcBorders>
            <w:shd w:color="auto" w:fill="005EB8" w:themeFill="accent1" w:val="clear"/>
            <w:vAlign w:val="center"/>
          </w:tcPr>
          <w:p>
            <w:pPr>
              <w:pStyle w:val="Normal"/>
              <w:spacing w:before="120" w:after="120"/>
              <w:jc w:val="center"/>
              <w:rPr>
                <w:color w:val="FFFFFF" w:themeColor="background1"/>
                <w:sz w:val="20"/>
                <w:szCs w:val="20"/>
              </w:rPr>
            </w:pPr>
            <w:r>
              <w:rPr>
                <w:b/>
                <w:bCs/>
                <w:color w:val="FFFFFF" w:themeColor="background1"/>
                <w:sz w:val="20"/>
                <w:szCs w:val="20"/>
              </w:rPr>
              <w:t>NEMS Event Receiver</w:t>
            </w:r>
          </w:p>
        </w:tc>
      </w:tr>
      <w:tr>
        <w:trPr>
          <w:trHeight w:val="1424" w:hRule="atLeast"/>
          <w:cnfStyle w:val="000000100000" w:firstRow="0" w:lastRow="0" w:firstColumn="0" w:lastColumn="0" w:oddVBand="0" w:evenVBand="0" w:oddHBand="1" w:evenHBand="0" w:firstRowFirstColumn="0" w:firstRowLastColumn="0" w:lastRowFirstColumn="0" w:lastRowLastColumn="0"/>
        </w:trPr>
        <w:tc>
          <w:tcPr>
            <w:tcW w:w="2263" w:type="dxa"/>
            <w:vMerge w:val="continue"/>
            <w:tcBorders>
              <w:right w:val="nil"/>
            </w:tcBorders>
            <w:shd w:color="auto" w:fill="A6A6A6" w:themeFill="background1" w:themeFillShade="a6" w:val="clear"/>
          </w:tcPr>
          <w:p>
            <w:pPr>
              <w:pStyle w:val="Normal"/>
              <w:spacing w:before="120" w:after="120"/>
              <w:rPr>
                <w:b/>
                <w:b/>
                <w:bCs/>
                <w:color w:val="FFFFFF" w:themeColor="background1"/>
                <w:sz w:val="20"/>
                <w:szCs w:val="20"/>
              </w:rPr>
            </w:pPr>
            <w:r>
              <w:rPr>
                <w:b/>
                <w:bCs/>
                <w:color w:val="FFFFFF" w:themeColor="background1"/>
                <w:sz w:val="20"/>
                <w:szCs w:val="20"/>
              </w:rPr>
            </w:r>
          </w:p>
        </w:tc>
        <w:tc>
          <w:tcPr>
            <w:tcW w:w="2456" w:type="dxa"/>
            <w:tcBorders>
              <w:left w:val="nil"/>
              <w:right w:val="nil"/>
            </w:tcBorders>
            <w:shd w:color="auto" w:fill="A6A6A6" w:themeFill="background1" w:themeFillShade="a6" w:val="clear"/>
            <w:vAlign w:val="center"/>
          </w:tcPr>
          <w:p>
            <w:pPr>
              <w:pStyle w:val="Normal"/>
              <w:spacing w:before="120" w:after="120"/>
              <w:jc w:val="center"/>
              <w:rPr>
                <w:b/>
                <w:b/>
                <w:bCs/>
                <w:color w:val="FFFFFF" w:themeColor="background1"/>
                <w:sz w:val="20"/>
                <w:szCs w:val="20"/>
              </w:rPr>
            </w:pPr>
            <w:r>
              <w:rPr>
                <w:color w:val="FFFFFF" w:themeColor="background1"/>
                <w:sz w:val="20"/>
                <w:szCs w:val="20"/>
              </w:rPr>
              <w:t>Subscription API Capability</w:t>
            </w:r>
          </w:p>
        </w:tc>
        <w:tc>
          <w:tcPr>
            <w:tcW w:w="2458" w:type="dxa"/>
            <w:tcBorders>
              <w:left w:val="nil"/>
              <w:right w:val="nil"/>
            </w:tcBorders>
            <w:shd w:color="auto" w:fill="A6A6A6" w:themeFill="background1" w:themeFillShade="a6" w:val="clear"/>
            <w:vAlign w:val="center"/>
          </w:tcPr>
          <w:p>
            <w:pPr>
              <w:pStyle w:val="Normal"/>
              <w:spacing w:before="120" w:after="120"/>
              <w:jc w:val="center"/>
              <w:rPr>
                <w:color w:val="FFFFFF" w:themeColor="background1"/>
                <w:sz w:val="20"/>
                <w:szCs w:val="20"/>
              </w:rPr>
            </w:pPr>
            <w:r>
              <w:rPr>
                <w:color w:val="FFFFFF" w:themeColor="background1"/>
                <w:sz w:val="20"/>
                <w:szCs w:val="20"/>
              </w:rPr>
              <w:t>Publish API Capability</w:t>
            </w:r>
          </w:p>
        </w:tc>
        <w:tc>
          <w:tcPr>
            <w:tcW w:w="2456" w:type="dxa"/>
            <w:tcBorders>
              <w:left w:val="nil"/>
            </w:tcBorders>
            <w:shd w:color="auto" w:fill="A6A6A6" w:themeFill="background1" w:themeFillShade="a6" w:val="clear"/>
            <w:vAlign w:val="center"/>
          </w:tcPr>
          <w:p>
            <w:pPr>
              <w:pStyle w:val="Normal"/>
              <w:spacing w:before="120" w:after="120"/>
              <w:jc w:val="center"/>
              <w:rPr>
                <w:b/>
                <w:b/>
                <w:bCs/>
                <w:color w:val="FFFFFF" w:themeColor="background1"/>
                <w:sz w:val="20"/>
                <w:szCs w:val="20"/>
              </w:rPr>
            </w:pPr>
            <w:r>
              <w:rPr>
                <w:color w:val="FFFFFF" w:themeColor="background1"/>
                <w:sz w:val="20"/>
                <w:szCs w:val="20"/>
              </w:rPr>
              <w:t>Generic Subscription Capability</w:t>
            </w:r>
          </w:p>
        </w:tc>
      </w:tr>
      <w:tr>
        <w:trPr>
          <w:trHeight w:val="454" w:hRule="atLeast"/>
        </w:trPr>
        <w:tc>
          <w:tcPr>
            <w:tcW w:w="2263" w:type="dxa"/>
            <w:tcBorders>
              <w:top w:val="nil"/>
              <w:bottom w:val="nil"/>
              <w:right w:val="nil"/>
            </w:tcBorders>
          </w:tcPr>
          <w:p>
            <w:pPr>
              <w:pStyle w:val="Normal"/>
              <w:spacing w:before="120" w:after="120"/>
              <w:rPr>
                <w:sz w:val="20"/>
                <w:szCs w:val="20"/>
              </w:rPr>
            </w:pPr>
            <w:r>
              <w:rPr>
                <w:sz w:val="20"/>
                <w:szCs w:val="20"/>
              </w:rPr>
              <w:t>PDS Compliant</w:t>
            </w:r>
          </w:p>
        </w:tc>
        <w:tc>
          <w:tcPr>
            <w:tcW w:w="2456" w:type="dxa"/>
            <w:tcBorders>
              <w:top w:val="nil"/>
              <w:left w:val="nil"/>
              <w:bottom w:val="nil"/>
              <w:right w:val="nil"/>
            </w:tcBorders>
          </w:tcPr>
          <w:p>
            <w:pPr>
              <w:pStyle w:val="Normal"/>
              <w:spacing w:before="120" w:after="120"/>
              <w:jc w:val="center"/>
              <w:rPr>
                <w:sz w:val="20"/>
                <w:szCs w:val="20"/>
              </w:rPr>
            </w:pPr>
            <w:r>
              <w:rPr>
                <w:rFonts w:eastAsia="Wingdings" w:cs="Wingdings" w:ascii="Wingdings" w:hAnsi="Wingdings"/>
                <w:sz w:val="20"/>
                <w:szCs w:val="20"/>
              </w:rPr>
              <w:t>l</w:t>
            </w:r>
          </w:p>
        </w:tc>
        <w:tc>
          <w:tcPr>
            <w:tcW w:w="2458" w:type="dxa"/>
            <w:tcBorders>
              <w:top w:val="nil"/>
              <w:left w:val="nil"/>
              <w:bottom w:val="nil"/>
              <w:right w:val="nil"/>
            </w:tcBorders>
          </w:tcPr>
          <w:p>
            <w:pPr>
              <w:pStyle w:val="Normal"/>
              <w:spacing w:before="120" w:after="120"/>
              <w:jc w:val="center"/>
              <w:rPr>
                <w:sz w:val="20"/>
                <w:szCs w:val="20"/>
              </w:rPr>
            </w:pPr>
            <w:r>
              <w:rPr>
                <w:rFonts w:eastAsia="Wingdings" w:cs="Wingdings" w:ascii="Wingdings" w:hAnsi="Wingdings"/>
                <w:sz w:val="20"/>
                <w:szCs w:val="20"/>
              </w:rPr>
              <w:t>l</w:t>
            </w:r>
          </w:p>
        </w:tc>
        <w:tc>
          <w:tcPr>
            <w:tcW w:w="2456" w:type="dxa"/>
            <w:tcBorders>
              <w:top w:val="nil"/>
              <w:left w:val="nil"/>
              <w:bottom w:val="nil"/>
            </w:tcBorders>
          </w:tcPr>
          <w:p>
            <w:pPr>
              <w:pStyle w:val="Normal"/>
              <w:spacing w:before="120" w:after="120"/>
              <w:jc w:val="center"/>
              <w:rPr>
                <w:sz w:val="20"/>
                <w:szCs w:val="20"/>
              </w:rPr>
            </w:pPr>
            <w:r>
              <w:rPr>
                <w:sz w:val="20"/>
                <w:szCs w:val="20"/>
              </w:rPr>
            </w:r>
          </w:p>
        </w:tc>
      </w:tr>
      <w:tr>
        <w:trPr>
          <w:trHeight w:val="454" w:hRule="atLeast"/>
          <w:cnfStyle w:val="000000100000" w:firstRow="0" w:lastRow="0" w:firstColumn="0" w:lastColumn="0" w:oddVBand="0" w:evenVBand="0" w:oddHBand="1" w:evenHBand="0" w:firstRowFirstColumn="0" w:firstRowLastColumn="0" w:lastRowFirstColumn="0" w:lastRowLastColumn="0"/>
        </w:trPr>
        <w:tc>
          <w:tcPr>
            <w:tcW w:w="2263" w:type="dxa"/>
            <w:tcBorders>
              <w:right w:val="nil"/>
            </w:tcBorders>
          </w:tcPr>
          <w:p>
            <w:pPr>
              <w:pStyle w:val="Normal"/>
              <w:spacing w:before="120" w:after="120"/>
              <w:rPr>
                <w:sz w:val="20"/>
                <w:szCs w:val="20"/>
              </w:rPr>
            </w:pPr>
            <w:r>
              <w:rPr>
                <w:sz w:val="20"/>
                <w:szCs w:val="20"/>
              </w:rPr>
              <w:t>Endpoint Registration</w:t>
            </w:r>
          </w:p>
        </w:tc>
        <w:tc>
          <w:tcPr>
            <w:tcW w:w="2456" w:type="dxa"/>
            <w:tcBorders>
              <w:left w:val="nil"/>
              <w:right w:val="nil"/>
            </w:tcBorders>
          </w:tcPr>
          <w:p>
            <w:pPr>
              <w:pStyle w:val="Normal"/>
              <w:spacing w:before="120" w:after="120"/>
              <w:jc w:val="center"/>
              <w:rPr>
                <w:sz w:val="20"/>
                <w:szCs w:val="20"/>
              </w:rPr>
            </w:pPr>
            <w:r>
              <w:rPr>
                <w:rFonts w:eastAsia="Wingdings" w:cs="Wingdings" w:ascii="Wingdings" w:hAnsi="Wingdings"/>
                <w:sz w:val="20"/>
                <w:szCs w:val="20"/>
              </w:rPr>
              <w:t>l</w:t>
            </w:r>
          </w:p>
        </w:tc>
        <w:tc>
          <w:tcPr>
            <w:tcW w:w="2458" w:type="dxa"/>
            <w:tcBorders>
              <w:left w:val="nil"/>
              <w:right w:val="nil"/>
            </w:tcBorders>
          </w:tcPr>
          <w:p>
            <w:pPr>
              <w:pStyle w:val="Normal"/>
              <w:spacing w:before="120" w:after="120"/>
              <w:jc w:val="center"/>
              <w:rPr>
                <w:sz w:val="20"/>
                <w:szCs w:val="20"/>
              </w:rPr>
            </w:pPr>
            <w:r>
              <w:rPr>
                <w:rFonts w:eastAsia="Wingdings" w:cs="Wingdings" w:ascii="Wingdings" w:hAnsi="Wingdings"/>
                <w:sz w:val="20"/>
                <w:szCs w:val="20"/>
              </w:rPr>
              <w:t>l</w:t>
            </w:r>
          </w:p>
        </w:tc>
        <w:tc>
          <w:tcPr>
            <w:tcW w:w="2456" w:type="dxa"/>
            <w:tcBorders>
              <w:left w:val="nil"/>
            </w:tcBorders>
          </w:tcPr>
          <w:p>
            <w:pPr>
              <w:pStyle w:val="Normal"/>
              <w:spacing w:before="120" w:after="120"/>
              <w:jc w:val="center"/>
              <w:rPr>
                <w:sz w:val="20"/>
                <w:szCs w:val="20"/>
              </w:rPr>
            </w:pPr>
            <w:r>
              <w:rPr>
                <w:sz w:val="20"/>
                <w:szCs w:val="20"/>
              </w:rPr>
            </w:r>
          </w:p>
        </w:tc>
      </w:tr>
      <w:tr>
        <w:trPr>
          <w:trHeight w:val="454" w:hRule="atLeast"/>
        </w:trPr>
        <w:tc>
          <w:tcPr>
            <w:tcW w:w="2263" w:type="dxa"/>
            <w:tcBorders>
              <w:top w:val="nil"/>
              <w:right w:val="nil"/>
            </w:tcBorders>
          </w:tcPr>
          <w:p>
            <w:pPr>
              <w:pStyle w:val="Normal"/>
              <w:spacing w:before="120" w:after="120"/>
              <w:rPr>
                <w:sz w:val="20"/>
                <w:szCs w:val="20"/>
              </w:rPr>
            </w:pPr>
            <w:r>
              <w:rPr>
                <w:sz w:val="20"/>
                <w:szCs w:val="20"/>
              </w:rPr>
              <w:t>MESH Configuration</w:t>
            </w:r>
          </w:p>
        </w:tc>
        <w:tc>
          <w:tcPr>
            <w:tcW w:w="2456" w:type="dxa"/>
            <w:tcBorders>
              <w:top w:val="nil"/>
              <w:left w:val="nil"/>
              <w:right w:val="nil"/>
            </w:tcBorders>
          </w:tcPr>
          <w:p>
            <w:pPr>
              <w:pStyle w:val="Normal"/>
              <w:spacing w:before="120" w:after="120"/>
              <w:jc w:val="center"/>
              <w:rPr>
                <w:sz w:val="20"/>
                <w:szCs w:val="20"/>
              </w:rPr>
            </w:pPr>
            <w:r>
              <w:rPr>
                <w:rFonts w:eastAsia="Wingdings" w:cs="Wingdings" w:ascii="Wingdings" w:hAnsi="Wingdings"/>
                <w:sz w:val="20"/>
                <w:szCs w:val="20"/>
              </w:rPr>
              <w:t>l</w:t>
            </w:r>
          </w:p>
        </w:tc>
        <w:tc>
          <w:tcPr>
            <w:tcW w:w="2458" w:type="dxa"/>
            <w:tcBorders>
              <w:top w:val="nil"/>
              <w:left w:val="nil"/>
              <w:right w:val="nil"/>
            </w:tcBorders>
          </w:tcPr>
          <w:p>
            <w:pPr>
              <w:pStyle w:val="Normal"/>
              <w:spacing w:before="120" w:after="120"/>
              <w:jc w:val="center"/>
              <w:rPr>
                <w:sz w:val="20"/>
                <w:szCs w:val="20"/>
              </w:rPr>
            </w:pPr>
            <w:r>
              <w:rPr>
                <w:sz w:val="20"/>
                <w:szCs w:val="20"/>
              </w:rPr>
            </w:r>
          </w:p>
        </w:tc>
        <w:tc>
          <w:tcPr>
            <w:tcW w:w="2456" w:type="dxa"/>
            <w:tcBorders>
              <w:top w:val="nil"/>
              <w:left w:val="nil"/>
            </w:tcBorders>
          </w:tcPr>
          <w:p>
            <w:pPr>
              <w:pStyle w:val="Normal"/>
              <w:spacing w:before="120" w:after="120"/>
              <w:jc w:val="center"/>
              <w:rPr>
                <w:sz w:val="20"/>
                <w:szCs w:val="20"/>
              </w:rPr>
            </w:pPr>
            <w:r>
              <w:rPr>
                <w:rFonts w:eastAsia="Wingdings" w:cs="Wingdings" w:ascii="Wingdings" w:hAnsi="Wingdings"/>
                <w:sz w:val="20"/>
                <w:szCs w:val="20"/>
              </w:rPr>
              <w:t>l</w:t>
            </w:r>
          </w:p>
        </w:tc>
      </w:tr>
    </w:tbl>
    <w:p>
      <w:pPr>
        <w:pStyle w:val="Normal"/>
        <w:spacing w:before="120" w:after="120"/>
        <w:rPr/>
      </w:pPr>
      <w:r>
        <w:rPr/>
      </w:r>
    </w:p>
    <w:p>
      <w:pPr>
        <w:pStyle w:val="Normal"/>
        <w:spacing w:before="120" w:after="120"/>
        <w:rPr/>
      </w:pPr>
      <w:r>
        <w:rPr/>
        <w:t xml:space="preserve">The NEMS technical specification provides further detail and the requirements, it is located on the Health Developer Network:   </w:t>
      </w:r>
      <w:hyperlink r:id="rId17">
        <w:r>
          <w:rPr>
            <w:rStyle w:val="InternetLink"/>
          </w:rPr>
          <w:t>National Event Management Service Technical Specification</w:t>
        </w:r>
      </w:hyperlink>
      <w:r>
        <w:rPr/>
        <w:t>.</w:t>
      </w:r>
    </w:p>
    <w:p>
      <w:pPr>
        <w:pStyle w:val="Normal"/>
        <w:rPr/>
      </w:pPr>
      <w:r>
        <w:rPr/>
      </w:r>
    </w:p>
    <w:p>
      <w:pPr>
        <w:pStyle w:val="Heading2"/>
        <w:numPr>
          <w:ilvl w:val="1"/>
          <w:numId w:val="4"/>
        </w:numPr>
        <w:rPr/>
      </w:pPr>
      <w:bookmarkStart w:id="37" w:name="_Toc37167687"/>
      <w:bookmarkStart w:id="38" w:name="_Toc48895925"/>
      <w:r>
        <w:rPr/>
        <w:t>Generic Event Messages</w:t>
      </w:r>
      <w:bookmarkEnd w:id="37"/>
      <w:bookmarkEnd w:id="38"/>
    </w:p>
    <w:p>
      <w:pPr>
        <w:pStyle w:val="NormalWeb"/>
        <w:spacing w:lineRule="auto" w:beforeAutospacing="0" w:before="120" w:afterAutospacing="0" w:after="120"/>
        <w:rPr>
          <w:rFonts w:ascii="Arial" w:hAnsi="Arial"/>
          <w:color w:val="0F0F0F" w:themeColor="text1"/>
          <w:lang w:val="en-GB"/>
        </w:rPr>
      </w:pPr>
      <w:r>
        <w:rPr>
          <w:rFonts w:ascii="Arial" w:hAnsi="Arial"/>
          <w:color w:val="0F0F0F" w:themeColor="text1"/>
          <w:lang w:val="en-GB"/>
        </w:rPr>
        <w:t>Each event message which passes through NEMS carries a standard set of event information to allow the receiver of the message to identify:</w:t>
      </w:r>
    </w:p>
    <w:p>
      <w:pPr>
        <w:pStyle w:val="ListParagraph"/>
        <w:numPr>
          <w:ilvl w:val="0"/>
          <w:numId w:val="12"/>
        </w:numPr>
        <w:spacing w:lineRule="auto" w:before="120" w:after="120"/>
        <w:contextualSpacing/>
        <w:rPr/>
      </w:pPr>
      <w:r>
        <w:rPr/>
        <w:t>the patient who is the focus of the event</w:t>
      </w:r>
    </w:p>
    <w:p>
      <w:pPr>
        <w:pStyle w:val="ListParagraph"/>
        <w:numPr>
          <w:ilvl w:val="0"/>
          <w:numId w:val="12"/>
        </w:numPr>
        <w:spacing w:lineRule="auto" w:before="120" w:after="120"/>
        <w:contextualSpacing/>
        <w:rPr/>
      </w:pPr>
      <w:r>
        <w:rPr/>
        <w:t xml:space="preserve">information about the provider who published the event message, including </w:t>
      </w:r>
      <w:hyperlink r:id="rId18">
        <w:r>
          <w:rPr/>
          <w:t>contact details</w:t>
        </w:r>
      </w:hyperlink>
      <w:r>
        <w:rPr/>
        <w:t xml:space="preserve"> for issues with the event message</w:t>
      </w:r>
    </w:p>
    <w:p>
      <w:pPr>
        <w:pStyle w:val="ListParagraph"/>
        <w:numPr>
          <w:ilvl w:val="0"/>
          <w:numId w:val="12"/>
        </w:numPr>
        <w:spacing w:lineRule="auto" w:before="120" w:after="120"/>
        <w:contextualSpacing/>
        <w:rPr/>
      </w:pPr>
      <w:r>
        <w:rPr/>
        <w:t>information about the event that occurred</w:t>
      </w:r>
    </w:p>
    <w:p>
      <w:pPr>
        <w:pStyle w:val="ListParagraph"/>
        <w:numPr>
          <w:ilvl w:val="0"/>
          <w:numId w:val="12"/>
        </w:numPr>
        <w:spacing w:lineRule="auto" w:before="120" w:after="120"/>
        <w:contextualSpacing/>
        <w:rPr/>
      </w:pPr>
      <w:r>
        <w:rPr/>
        <w:t xml:space="preserve">information to allow receivers to perform </w:t>
      </w:r>
      <w:hyperlink r:id="rId19">
        <w:r>
          <w:rPr/>
          <w:t>message sequencing</w:t>
        </w:r>
      </w:hyperlink>
    </w:p>
    <w:p>
      <w:pPr>
        <w:pStyle w:val="Normal"/>
        <w:spacing w:lineRule="auto" w:before="120" w:after="120"/>
        <w:rPr/>
      </w:pPr>
      <w:r>
        <w:rPr/>
        <w:t>Generic event messages are designed and intended for reuse across different organisations and care settings.</w:t>
      </w:r>
    </w:p>
    <w:p>
      <w:pPr>
        <w:pStyle w:val="Normal"/>
        <w:spacing w:lineRule="auto" w:before="120" w:after="120"/>
        <w:rPr/>
      </w:pPr>
      <w:r>
        <w:rPr/>
      </w:r>
    </w:p>
    <w:p>
      <w:pPr>
        <w:pStyle w:val="Heading3"/>
        <w:numPr>
          <w:ilvl w:val="2"/>
          <w:numId w:val="4"/>
        </w:numPr>
        <w:rPr/>
      </w:pPr>
      <w:bookmarkStart w:id="39" w:name="_Toc48895926"/>
      <w:bookmarkStart w:id="40" w:name="_Toc37167688"/>
      <w:r>
        <w:rPr/>
        <w:t>Event Maturity</w:t>
      </w:r>
      <w:bookmarkEnd w:id="39"/>
      <w:bookmarkEnd w:id="40"/>
    </w:p>
    <w:p>
      <w:pPr>
        <w:pStyle w:val="Normal"/>
        <w:spacing w:lineRule="auto" w:before="120" w:after="120"/>
        <w:rPr/>
      </w:pPr>
      <w:r>
        <w:rPr/>
        <w:t>The maturity of an event message is indicated in the following tables, event maturity labels are intended to indicate the expected stability of the event messages.</w:t>
      </w:r>
    </w:p>
    <w:tbl>
      <w:tblPr>
        <w:tblStyle w:val="LightList-Accent11"/>
        <w:tblW w:w="9844" w:type="dxa"/>
        <w:jc w:val="left"/>
        <w:tblInd w:w="0" w:type="dxa"/>
        <w:tblCellMar>
          <w:top w:w="0" w:type="dxa"/>
          <w:left w:w="108" w:type="dxa"/>
          <w:bottom w:w="0" w:type="dxa"/>
          <w:right w:w="108" w:type="dxa"/>
        </w:tblCellMar>
        <w:tblLook w:firstRow="1" w:noVBand="1" w:lastRow="0" w:firstColumn="1" w:lastColumn="0" w:noHBand="0" w:val="04a0"/>
      </w:tblPr>
      <w:tblGrid>
        <w:gridCol w:w="1506"/>
        <w:gridCol w:w="8337"/>
      </w:tblGrid>
      <w:tr>
        <w:trPr>
          <w:cnfStyle w:val="100000000000" w:firstRow="1" w:lastRow="0" w:firstColumn="0" w:lastColumn="0" w:oddVBand="0" w:evenVBand="0" w:oddHBand="0" w:evenHBand="0" w:firstRowFirstColumn="0" w:firstRowLastColumn="0" w:lastRowFirstColumn="0" w:lastRowLastColumn="0"/>
        </w:trPr>
        <w:tc>
          <w:tcPr>
            <w:tcW w:w="1506"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005EB8" w:themeFill="accent1" w:val="clear"/>
            <w:vAlign w:val="center"/>
          </w:tcPr>
          <w:p>
            <w:pPr>
              <w:pStyle w:val="Normal"/>
              <w:spacing w:lineRule="auto" w:before="120" w:after="12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Event Maturity</w:t>
            </w:r>
          </w:p>
        </w:tc>
        <w:tc>
          <w:tcPr>
            <w:tcW w:w="8337" w:type="dxa"/>
            <w:tcBorders>
              <w:left w:val="nil"/>
              <w:bottom w:val="nil"/>
            </w:tcBorders>
            <w:shd w:color="auto" w:fill="005EB8" w:themeFill="accent1" w:val="clear"/>
            <w:vAlign w:val="center"/>
          </w:tcPr>
          <w:p>
            <w:pPr>
              <w:pStyle w:val="Normal"/>
              <w:spacing w:lineRule="auto" w:before="120" w:after="120"/>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Description</w:t>
            </w:r>
          </w:p>
        </w:tc>
      </w:tr>
      <w:tr>
        <w:trPr>
          <w:cnfStyle w:val="000000100000" w:firstRow="0" w:lastRow="0" w:firstColumn="0" w:lastColumn="0" w:oddVBand="0" w:evenVBand="0" w:oddHBand="1" w:evenHBand="0" w:firstRowFirstColumn="0" w:firstRowLastColumn="0" w:lastRowFirstColumn="0" w:lastRowLastColumn="0"/>
        </w:trPr>
        <w:tc>
          <w:tcPr>
            <w:tcW w:w="1506" w:type="dxa"/>
            <w:cnfStyle w:val="001000000000" w:firstRow="0" w:lastRow="0" w:firstColumn="1" w:lastColumn="0" w:oddVBand="0" w:evenVBand="0" w:oddHBand="0" w:evenHBand="0" w:firstRowFirstColumn="0" w:firstRowLastColumn="0" w:lastRowFirstColumn="0" w:lastRowLastColumn="0"/>
            <w:tcBorders/>
            <w:vAlign w:val="center"/>
          </w:tcPr>
          <w:p>
            <w:pPr>
              <w:pStyle w:val="Normal"/>
              <w:spacing w:lineRule="auto" w:before="120" w:after="120"/>
              <w:jc w:val="center"/>
              <w:rPr>
                <w:rStyle w:val="InternetLink"/>
                <w:rFonts w:ascii="Arial" w:hAnsi="Arial" w:eastAsia="MS Mincho"/>
                <w:sz w:val="20"/>
                <w:szCs w:val="20"/>
              </w:rPr>
            </w:pPr>
            <w:r>
              <w:rPr>
                <w:rStyle w:val="InternetLink"/>
                <w:rFonts w:eastAsia="ＭＳ Ｐゴシック" w:cs="Arial" w:cstheme="minorBidi" w:eastAsiaTheme="minorEastAsia"/>
                <w:b/>
                <w:bCs/>
                <w:sz w:val="20"/>
                <w:szCs w:val="22"/>
                <w:lang w:eastAsia="en-GB"/>
              </w:rPr>
              <w:t>Alpha</w:t>
            </w:r>
          </w:p>
        </w:tc>
        <w:tc>
          <w:tcPr>
            <w:tcW w:w="8337" w:type="dxa"/>
            <w:tcBorders/>
            <w:vAlign w:val="center"/>
          </w:tcPr>
          <w:p>
            <w:pPr>
              <w:pStyle w:val="Normal"/>
              <w:spacing w:lineRule="auto" w:before="120"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Early proposal for an event message, high risk of change.</w:t>
            </w:r>
          </w:p>
        </w:tc>
      </w:tr>
      <w:tr>
        <w:trPr/>
        <w:tc>
          <w:tcPr>
            <w:tcW w:w="150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vAlign w:val="center"/>
          </w:tcPr>
          <w:p>
            <w:pPr>
              <w:pStyle w:val="Normal"/>
              <w:spacing w:lineRule="auto" w:before="120" w:after="120"/>
              <w:jc w:val="center"/>
              <w:rPr>
                <w:rStyle w:val="InternetLink"/>
                <w:rFonts w:ascii="Arial" w:hAnsi="Arial" w:eastAsia="MS Mincho"/>
                <w:sz w:val="20"/>
                <w:szCs w:val="20"/>
              </w:rPr>
            </w:pPr>
            <w:r>
              <w:rPr>
                <w:rStyle w:val="InternetLink"/>
                <w:rFonts w:eastAsia="ＭＳ Ｐゴシック" w:cs="Arial" w:cstheme="minorBidi" w:eastAsiaTheme="minorEastAsia"/>
                <w:b/>
                <w:bCs/>
                <w:sz w:val="20"/>
                <w:szCs w:val="22"/>
                <w:lang w:eastAsia="en-GB"/>
              </w:rPr>
              <w:t>Beta</w:t>
            </w:r>
          </w:p>
        </w:tc>
        <w:tc>
          <w:tcPr>
            <w:tcW w:w="8337" w:type="dxa"/>
            <w:tcBorders>
              <w:top w:val="nil"/>
              <w:left w:val="nil"/>
              <w:bottom w:val="nil"/>
            </w:tcBorders>
            <w:vAlign w:val="center"/>
          </w:tcPr>
          <w:p>
            <w:pPr>
              <w:pStyle w:val="Normal"/>
              <w:spacing w:lineRule="auto" w:before="120" w:after="12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The event design has been agreed and is intended to become the release candidate but has not been proved through development and testing, therefore there is a risk that changes may be required.</w:t>
            </w:r>
          </w:p>
        </w:tc>
      </w:tr>
      <w:tr>
        <w:trPr>
          <w:cnfStyle w:val="000000100000" w:firstRow="0" w:lastRow="0" w:firstColumn="0" w:lastColumn="0" w:oddVBand="0" w:evenVBand="0" w:oddHBand="1" w:evenHBand="0" w:firstRowFirstColumn="0" w:firstRowLastColumn="0" w:lastRowFirstColumn="0" w:lastRowLastColumn="0"/>
        </w:trPr>
        <w:tc>
          <w:tcPr>
            <w:tcW w:w="1506" w:type="dxa"/>
            <w:cnfStyle w:val="001000000000" w:firstRow="0" w:lastRow="0" w:firstColumn="1" w:lastColumn="0" w:oddVBand="0" w:evenVBand="0" w:oddHBand="0" w:evenHBand="0" w:firstRowFirstColumn="0" w:firstRowLastColumn="0" w:lastRowFirstColumn="0" w:lastRowLastColumn="0"/>
            <w:tcBorders/>
            <w:vAlign w:val="center"/>
          </w:tcPr>
          <w:p>
            <w:pPr>
              <w:pStyle w:val="Normal"/>
              <w:spacing w:lineRule="auto" w:before="120" w:after="120"/>
              <w:jc w:val="center"/>
              <w:rPr>
                <w:rStyle w:val="InternetLink"/>
                <w:rFonts w:ascii="Arial" w:hAnsi="Arial" w:eastAsia="MS Mincho"/>
                <w:sz w:val="20"/>
                <w:szCs w:val="20"/>
              </w:rPr>
            </w:pPr>
            <w:r>
              <w:rPr>
                <w:rStyle w:val="InternetLink"/>
                <w:rFonts w:eastAsia="ＭＳ Ｐゴシック" w:cs="Arial" w:cstheme="minorBidi" w:eastAsiaTheme="minorEastAsia"/>
                <w:b/>
                <w:bCs/>
                <w:sz w:val="20"/>
                <w:szCs w:val="22"/>
                <w:lang w:eastAsia="en-GB"/>
              </w:rPr>
              <w:t>Release Candidate</w:t>
            </w:r>
          </w:p>
        </w:tc>
        <w:tc>
          <w:tcPr>
            <w:tcW w:w="8337" w:type="dxa"/>
            <w:tcBorders/>
            <w:vAlign w:val="center"/>
          </w:tcPr>
          <w:p>
            <w:pPr>
              <w:pStyle w:val="Normal"/>
              <w:spacing w:lineRule="auto" w:before="120"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The event has been through a development and testing phase, followed by a successful Deployment Verification Period</w:t>
            </w:r>
            <w:r>
              <w:rPr>
                <w:rStyle w:val="FootnoteAnchor"/>
                <w:rFonts w:eastAsia="ＭＳ Ｐゴシック" w:cs="Arial" w:cstheme="minorBidi" w:eastAsiaTheme="minorEastAsia"/>
                <w:color w:val="000000"/>
                <w:sz w:val="20"/>
                <w:szCs w:val="20"/>
                <w:lang w:eastAsia="en-GB"/>
              </w:rPr>
              <w:footnoteReference w:id="7"/>
            </w:r>
            <w:r>
              <w:rPr>
                <w:rFonts w:eastAsia="ＭＳ Ｐゴシック" w:cs="Arial" w:cstheme="minorBidi" w:eastAsiaTheme="minorEastAsia"/>
                <w:color w:val="000000"/>
                <w:sz w:val="20"/>
                <w:szCs w:val="20"/>
                <w:lang w:eastAsia="en-GB"/>
              </w:rPr>
              <w:t xml:space="preserve"> (DVP) in live use. The event message should not change unless as a result of a live issue.</w:t>
            </w:r>
          </w:p>
        </w:tc>
      </w:tr>
      <w:tr>
        <w:trPr/>
        <w:tc>
          <w:tcPr>
            <w:tcW w:w="1506" w:type="dxa"/>
            <w:cnfStyle w:val="001000000000" w:firstRow="0" w:lastRow="0" w:firstColumn="1" w:lastColumn="0" w:oddVBand="0" w:evenVBand="0" w:oddHBand="0" w:evenHBand="0" w:firstRowFirstColumn="0" w:firstRowLastColumn="0" w:lastRowFirstColumn="0" w:lastRowLastColumn="0"/>
            <w:tcBorders>
              <w:top w:val="nil"/>
              <w:right w:val="nil"/>
            </w:tcBorders>
            <w:vAlign w:val="center"/>
          </w:tcPr>
          <w:p>
            <w:pPr>
              <w:pStyle w:val="Normal"/>
              <w:spacing w:lineRule="auto" w:before="120" w:after="120"/>
              <w:jc w:val="center"/>
              <w:rPr>
                <w:rStyle w:val="InternetLink"/>
                <w:rFonts w:ascii="Arial" w:hAnsi="Arial" w:eastAsia="MS Mincho"/>
                <w:sz w:val="20"/>
                <w:szCs w:val="20"/>
              </w:rPr>
            </w:pPr>
            <w:r>
              <w:rPr>
                <w:rStyle w:val="InternetLink"/>
                <w:rFonts w:eastAsia="ＭＳ Ｐゴシック" w:cs="Arial" w:cstheme="minorBidi" w:eastAsiaTheme="minorEastAsia"/>
                <w:b/>
                <w:bCs/>
                <w:sz w:val="20"/>
                <w:szCs w:val="22"/>
                <w:lang w:eastAsia="en-GB"/>
              </w:rPr>
              <w:t>Released</w:t>
            </w:r>
          </w:p>
        </w:tc>
        <w:tc>
          <w:tcPr>
            <w:tcW w:w="8337" w:type="dxa"/>
            <w:tcBorders>
              <w:top w:val="nil"/>
              <w:left w:val="nil"/>
            </w:tcBorders>
            <w:vAlign w:val="center"/>
          </w:tcPr>
          <w:p>
            <w:pPr>
              <w:pStyle w:val="Normal"/>
              <w:keepNext w:val="true"/>
              <w:spacing w:lineRule="auto" w:before="120" w:after="12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Event is being widely used and is unlikely to change, unless a change is required as a result of a live issue.</w:t>
            </w:r>
          </w:p>
        </w:tc>
      </w:tr>
    </w:tbl>
    <w:p>
      <w:pPr>
        <w:pStyle w:val="Caption1"/>
        <w:spacing w:lineRule="auto" w:before="120" w:after="120"/>
        <w:jc w:val="center"/>
        <w:rPr>
          <w:i w:val="false"/>
          <w:i w:val="false"/>
          <w:iCs w:val="false"/>
        </w:rPr>
      </w:pPr>
      <w:r>
        <w:rPr>
          <w:i w:val="false"/>
          <w:iCs w:val="false"/>
        </w:rPr>
        <w:t xml:space="preserve">Table </w:t>
      </w:r>
      <w:r>
        <w:rPr>
          <w:i w:val="false"/>
          <w:iCs w:val="false"/>
        </w:rPr>
        <w:fldChar w:fldCharType="begin"/>
      </w:r>
      <w:r>
        <w:rPr>
          <w:i w:val="false"/>
          <w:iCs w:val="false"/>
        </w:rPr>
        <w:instrText> SEQ Table \* ARABIC </w:instrText>
      </w:r>
      <w:r>
        <w:rPr>
          <w:i w:val="false"/>
          <w:iCs w:val="false"/>
        </w:rPr>
        <w:fldChar w:fldCharType="separate"/>
      </w:r>
      <w:r>
        <w:rPr>
          <w:i w:val="false"/>
          <w:iCs w:val="false"/>
        </w:rPr>
        <w:t>1</w:t>
      </w:r>
      <w:r>
        <w:rPr>
          <w:i w:val="false"/>
          <w:iCs w:val="false"/>
        </w:rPr>
        <w:fldChar w:fldCharType="end"/>
      </w:r>
      <w:r>
        <w:rPr>
          <w:i w:val="false"/>
          <w:iCs w:val="false"/>
        </w:rPr>
        <w:t>:  Event Maturity Labels</w:t>
      </w:r>
      <w:bookmarkStart w:id="41" w:name="_Toc37167689"/>
    </w:p>
    <w:p>
      <w:pPr>
        <w:pStyle w:val="Normal"/>
        <w:spacing w:before="120" w:after="120"/>
        <w:rPr/>
      </w:pPr>
      <w:r>
        <w:rPr/>
      </w:r>
    </w:p>
    <w:p>
      <w:pPr>
        <w:pStyle w:val="Heading3"/>
        <w:numPr>
          <w:ilvl w:val="2"/>
          <w:numId w:val="4"/>
        </w:numPr>
        <w:rPr/>
      </w:pPr>
      <w:bookmarkStart w:id="42" w:name="_Toc48895927"/>
      <w:r>
        <w:rPr/>
        <w:t>Supported Generic Event Messages</w:t>
      </w:r>
      <w:bookmarkEnd w:id="41"/>
      <w:bookmarkEnd w:id="42"/>
    </w:p>
    <w:p>
      <w:pPr>
        <w:pStyle w:val="NormalWeb"/>
        <w:spacing w:lineRule="auto" w:beforeAutospacing="0" w:before="120" w:afterAutospacing="0" w:after="120"/>
        <w:rPr>
          <w:rFonts w:ascii="Arial" w:hAnsi="Arial"/>
          <w:color w:val="0F0F0F" w:themeColor="text1"/>
          <w:lang w:val="en-GB"/>
        </w:rPr>
      </w:pPr>
      <w:r>
        <w:rPr>
          <w:rFonts w:ascii="Arial" w:hAnsi="Arial"/>
          <w:color w:val="0F0F0F" w:themeColor="text1"/>
          <w:lang w:val="en-GB"/>
        </w:rPr>
        <w:t>The following are generic event messages supported by the NEMS.</w:t>
      </w:r>
    </w:p>
    <w:tbl>
      <w:tblPr>
        <w:tblStyle w:val="LightList-Accent11"/>
        <w:tblW w:w="9844" w:type="dxa"/>
        <w:jc w:val="left"/>
        <w:tblInd w:w="0" w:type="dxa"/>
        <w:tblCellMar>
          <w:top w:w="0" w:type="dxa"/>
          <w:left w:w="108" w:type="dxa"/>
          <w:bottom w:w="0" w:type="dxa"/>
          <w:right w:w="108" w:type="dxa"/>
        </w:tblCellMar>
        <w:tblLook w:firstRow="1" w:noVBand="1" w:lastRow="0" w:firstColumn="1" w:lastColumn="0" w:noHBand="0" w:val="04a0"/>
      </w:tblPr>
      <w:tblGrid>
        <w:gridCol w:w="1971"/>
        <w:gridCol w:w="1908"/>
        <w:gridCol w:w="1484"/>
        <w:gridCol w:w="1631"/>
        <w:gridCol w:w="1335"/>
        <w:gridCol w:w="1514"/>
      </w:tblGrid>
      <w:tr>
        <w:trPr>
          <w:tblHeader w:val="true"/>
          <w:cantSplit w:val="true"/>
          <w:cnfStyle w:val="100000000000" w:firstRow="1" w:lastRow="0" w:firstColumn="0" w:lastColumn="0" w:oddVBand="0" w:evenVBand="0" w:oddHBand="0" w:evenHBand="0" w:firstRowFirstColumn="0" w:firstRowLastColumn="0" w:lastRowFirstColumn="0" w:lastRowLastColumn="0"/>
        </w:trPr>
        <w:tc>
          <w:tcPr>
            <w:tcW w:w="1971"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005EB8" w:themeFill="accent1" w:val="clear"/>
          </w:tcPr>
          <w:p>
            <w:pPr>
              <w:pStyle w:val="Normal"/>
              <w:spacing w:lineRule="auto" w:before="120" w:after="120"/>
              <w:jc w:val="center"/>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Event</w:t>
            </w:r>
          </w:p>
        </w:tc>
        <w:tc>
          <w:tcPr>
            <w:tcW w:w="1908" w:type="dxa"/>
            <w:tcBorders>
              <w:left w:val="nil"/>
              <w:bottom w:val="nil"/>
              <w:right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Event Code</w:t>
            </w:r>
          </w:p>
        </w:tc>
        <w:tc>
          <w:tcPr>
            <w:tcW w:w="1484" w:type="dxa"/>
            <w:tcBorders>
              <w:left w:val="nil"/>
              <w:bottom w:val="nil"/>
              <w:right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Publication API</w:t>
            </w:r>
          </w:p>
        </w:tc>
        <w:tc>
          <w:tcPr>
            <w:tcW w:w="1631" w:type="dxa"/>
            <w:tcBorders>
              <w:left w:val="nil"/>
              <w:bottom w:val="nil"/>
              <w:right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Subscription API</w:t>
            </w:r>
          </w:p>
        </w:tc>
        <w:tc>
          <w:tcPr>
            <w:tcW w:w="1335" w:type="dxa"/>
            <w:tcBorders>
              <w:left w:val="nil"/>
              <w:bottom w:val="nil"/>
              <w:right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Date Available</w:t>
            </w:r>
          </w:p>
        </w:tc>
        <w:tc>
          <w:tcPr>
            <w:tcW w:w="1514" w:type="dxa"/>
            <w:tcBorders>
              <w:left w:val="nil"/>
              <w:bottom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Event Maturity</w:t>
            </w:r>
          </w:p>
        </w:tc>
      </w:tr>
      <w:tr>
        <w:trPr>
          <w:cnfStyle w:val="000000100000" w:firstRow="0" w:lastRow="0" w:firstColumn="0" w:lastColumn="0" w:oddVBand="0" w:evenVBand="0" w:oddHBand="1" w:evenHBand="0" w:firstRowFirstColumn="0" w:firstRowLastColumn="0" w:lastRowFirstColumn="0" w:lastRowLastColumn="0"/>
        </w:trPr>
        <w:tc>
          <w:tcPr>
            <w:tcW w:w="19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before="120" w:after="120"/>
              <w:jc w:val="center"/>
              <w:rPr>
                <w:rFonts w:cs="Arial"/>
                <w:color w:val="000000"/>
                <w:sz w:val="20"/>
                <w:szCs w:val="20"/>
              </w:rPr>
            </w:pPr>
            <w:hyperlink r:id="rId20">
              <w:r>
                <w:rPr>
                  <w:rStyle w:val="InternetLink"/>
                  <w:rFonts w:eastAsia="ＭＳ Ｐゴシック" w:cs="Arial" w:cstheme="minorBidi" w:eastAsiaTheme="minorEastAsia"/>
                  <w:b/>
                  <w:bCs/>
                  <w:sz w:val="20"/>
                  <w:szCs w:val="22"/>
                  <w:lang w:eastAsia="en-GB"/>
                </w:rPr>
                <w:t>PDS Birth Notification</w:t>
              </w:r>
            </w:hyperlink>
          </w:p>
        </w:tc>
        <w:tc>
          <w:tcPr>
            <w:tcW w:w="1908"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pds-birth-notification-1</w:t>
            </w:r>
          </w:p>
        </w:tc>
        <w:tc>
          <w:tcPr>
            <w:tcW w:w="1484"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31"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35"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March 2019</w:t>
            </w:r>
          </w:p>
        </w:tc>
        <w:tc>
          <w:tcPr>
            <w:tcW w:w="1514"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Release Candidate</w:t>
            </w:r>
          </w:p>
        </w:tc>
      </w:tr>
      <w:tr>
        <w:trPr/>
        <w:tc>
          <w:tcPr>
            <w:tcW w:w="1971"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tcPr>
          <w:p>
            <w:pPr>
              <w:pStyle w:val="Normal"/>
              <w:spacing w:lineRule="auto" w:before="120" w:after="120"/>
              <w:jc w:val="center"/>
              <w:rPr>
                <w:rFonts w:cs="Arial"/>
                <w:color w:val="000000"/>
                <w:sz w:val="20"/>
                <w:szCs w:val="20"/>
              </w:rPr>
            </w:pPr>
            <w:hyperlink r:id="rId21">
              <w:r>
                <w:rPr>
                  <w:rStyle w:val="InternetLink"/>
                  <w:rFonts w:eastAsia="ＭＳ Ｐゴシック" w:cs="Arial" w:cstheme="minorBidi" w:eastAsiaTheme="minorEastAsia"/>
                  <w:b/>
                  <w:bCs/>
                  <w:sz w:val="20"/>
                  <w:szCs w:val="22"/>
                  <w:lang w:eastAsia="en-GB"/>
                </w:rPr>
                <w:t>PDS Change of Address</w:t>
              </w:r>
            </w:hyperlink>
          </w:p>
        </w:tc>
        <w:tc>
          <w:tcPr>
            <w:tcW w:w="1908"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pds-change-of-address-1</w:t>
            </w:r>
          </w:p>
        </w:tc>
        <w:tc>
          <w:tcPr>
            <w:tcW w:w="1484"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31"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35"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March 2019</w:t>
            </w:r>
          </w:p>
        </w:tc>
        <w:tc>
          <w:tcPr>
            <w:tcW w:w="1514" w:type="dxa"/>
            <w:tcBorders>
              <w:top w:val="nil"/>
              <w:left w:val="nil"/>
              <w:bottom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Release Candidate</w:t>
            </w:r>
          </w:p>
        </w:tc>
      </w:tr>
      <w:tr>
        <w:trPr>
          <w:cnfStyle w:val="000000100000" w:firstRow="0" w:lastRow="0" w:firstColumn="0" w:lastColumn="0" w:oddVBand="0" w:evenVBand="0" w:oddHBand="1" w:evenHBand="0" w:firstRowFirstColumn="0" w:firstRowLastColumn="0" w:lastRowFirstColumn="0" w:lastRowLastColumn="0"/>
        </w:trPr>
        <w:tc>
          <w:tcPr>
            <w:tcW w:w="19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before="120" w:after="120"/>
              <w:jc w:val="center"/>
              <w:rPr>
                <w:rFonts w:cs="Arial"/>
                <w:color w:val="000000"/>
                <w:sz w:val="20"/>
                <w:szCs w:val="20"/>
              </w:rPr>
            </w:pPr>
            <w:hyperlink r:id="rId22">
              <w:r>
                <w:rPr>
                  <w:rStyle w:val="InternetLink"/>
                  <w:rFonts w:eastAsia="ＭＳ Ｐゴシック" w:cs="Arial" w:cstheme="minorBidi" w:eastAsiaTheme="minorEastAsia"/>
                  <w:b/>
                  <w:bCs/>
                  <w:sz w:val="20"/>
                  <w:szCs w:val="22"/>
                  <w:lang w:eastAsia="en-GB"/>
                </w:rPr>
                <w:t>PDS Change of GP</w:t>
              </w:r>
            </w:hyperlink>
          </w:p>
        </w:tc>
        <w:tc>
          <w:tcPr>
            <w:tcW w:w="1908"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pds-change-of-gp-1</w:t>
            </w:r>
          </w:p>
        </w:tc>
        <w:tc>
          <w:tcPr>
            <w:tcW w:w="1484"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31"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35"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March 2019</w:t>
            </w:r>
          </w:p>
        </w:tc>
        <w:tc>
          <w:tcPr>
            <w:tcW w:w="1514"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Release Candidate</w:t>
            </w:r>
          </w:p>
        </w:tc>
      </w:tr>
      <w:tr>
        <w:trPr/>
        <w:tc>
          <w:tcPr>
            <w:tcW w:w="1971"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tcPr>
          <w:p>
            <w:pPr>
              <w:pStyle w:val="Normal"/>
              <w:spacing w:lineRule="auto" w:before="120" w:after="120"/>
              <w:jc w:val="center"/>
              <w:rPr>
                <w:rFonts w:cs="Arial"/>
                <w:color w:val="000000"/>
                <w:sz w:val="20"/>
                <w:szCs w:val="20"/>
              </w:rPr>
            </w:pPr>
            <w:hyperlink r:id="rId23">
              <w:r>
                <w:rPr>
                  <w:rStyle w:val="InternetLink"/>
                  <w:rFonts w:eastAsia="ＭＳ Ｐゴシック" w:cs="Arial" w:cstheme="minorBidi" w:eastAsiaTheme="minorEastAsia"/>
                  <w:b/>
                  <w:bCs/>
                  <w:sz w:val="20"/>
                  <w:szCs w:val="22"/>
                  <w:lang w:eastAsia="en-GB"/>
                </w:rPr>
                <w:t>PDS Death Notification</w:t>
              </w:r>
            </w:hyperlink>
          </w:p>
        </w:tc>
        <w:tc>
          <w:tcPr>
            <w:tcW w:w="1908"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pds-death-notification-1</w:t>
            </w:r>
          </w:p>
        </w:tc>
        <w:tc>
          <w:tcPr>
            <w:tcW w:w="1484"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31"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35"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March 2019</w:t>
            </w:r>
          </w:p>
        </w:tc>
        <w:tc>
          <w:tcPr>
            <w:tcW w:w="1514" w:type="dxa"/>
            <w:tcBorders>
              <w:top w:val="nil"/>
              <w:left w:val="nil"/>
              <w:bottom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Release Candidate</w:t>
            </w:r>
          </w:p>
        </w:tc>
      </w:tr>
      <w:tr>
        <w:trPr>
          <w:cnfStyle w:val="000000100000" w:firstRow="0" w:lastRow="0" w:firstColumn="0" w:lastColumn="0" w:oddVBand="0" w:evenVBand="0" w:oddHBand="1" w:evenHBand="0" w:firstRowFirstColumn="0" w:firstRowLastColumn="0" w:lastRowFirstColumn="0" w:lastRowLastColumn="0"/>
        </w:trPr>
        <w:tc>
          <w:tcPr>
            <w:tcW w:w="1971"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before="120" w:after="120"/>
              <w:jc w:val="center"/>
              <w:rPr>
                <w:rFonts w:cs="Arial"/>
                <w:color w:val="000000"/>
                <w:sz w:val="20"/>
                <w:szCs w:val="20"/>
              </w:rPr>
            </w:pPr>
            <w:hyperlink r:id="rId24">
              <w:r>
                <w:rPr>
                  <w:rStyle w:val="InternetLink"/>
                  <w:rFonts w:eastAsia="ＭＳ Ｐゴシック" w:cs="Arial" w:cstheme="minorBidi" w:eastAsiaTheme="minorEastAsia"/>
                  <w:b/>
                  <w:bCs/>
                  <w:sz w:val="20"/>
                  <w:szCs w:val="22"/>
                  <w:lang w:eastAsia="en-GB"/>
                </w:rPr>
                <w:t>Professional Contacts</w:t>
              </w:r>
            </w:hyperlink>
          </w:p>
        </w:tc>
        <w:tc>
          <w:tcPr>
            <w:tcW w:w="1908"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professional-contacts-1</w:t>
            </w:r>
          </w:p>
        </w:tc>
        <w:tc>
          <w:tcPr>
            <w:tcW w:w="1484"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31"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35"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May 2020</w:t>
            </w:r>
          </w:p>
        </w:tc>
        <w:tc>
          <w:tcPr>
            <w:tcW w:w="1514"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Beta</w:t>
            </w:r>
          </w:p>
        </w:tc>
      </w:tr>
      <w:tr>
        <w:trPr/>
        <w:tc>
          <w:tcPr>
            <w:tcW w:w="1971" w:type="dxa"/>
            <w:cnfStyle w:val="001000000000" w:firstRow="0" w:lastRow="0" w:firstColumn="1" w:lastColumn="0" w:oddVBand="0" w:evenVBand="0" w:oddHBand="0" w:evenHBand="0" w:firstRowFirstColumn="0" w:firstRowLastColumn="0" w:lastRowFirstColumn="0" w:lastRowLastColumn="0"/>
            <w:tcBorders>
              <w:top w:val="nil"/>
              <w:right w:val="nil"/>
            </w:tcBorders>
          </w:tcPr>
          <w:p>
            <w:pPr>
              <w:pStyle w:val="Normal"/>
              <w:spacing w:lineRule="auto" w:before="120" w:after="120"/>
              <w:jc w:val="center"/>
              <w:rPr>
                <w:rFonts w:cs="Arial"/>
                <w:color w:val="000000"/>
                <w:sz w:val="20"/>
                <w:szCs w:val="20"/>
              </w:rPr>
            </w:pPr>
            <w:hyperlink r:id="rId25">
              <w:r>
                <w:rPr>
                  <w:rStyle w:val="InternetLink"/>
                  <w:rFonts w:eastAsia="ＭＳ Ｐゴシック" w:cs="Arial" w:cstheme="minorBidi" w:eastAsiaTheme="minorEastAsia"/>
                  <w:b/>
                  <w:bCs/>
                  <w:sz w:val="20"/>
                  <w:szCs w:val="22"/>
                  <w:lang w:eastAsia="en-GB"/>
                </w:rPr>
                <w:t>Vaccinations</w:t>
              </w:r>
            </w:hyperlink>
          </w:p>
        </w:tc>
        <w:tc>
          <w:tcPr>
            <w:tcW w:w="1908" w:type="dxa"/>
            <w:tcBorders>
              <w:top w:val="nil"/>
              <w:left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vaccinations-1</w:t>
            </w:r>
          </w:p>
        </w:tc>
        <w:tc>
          <w:tcPr>
            <w:tcW w:w="1484" w:type="dxa"/>
            <w:tcBorders>
              <w:top w:val="nil"/>
              <w:left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31" w:type="dxa"/>
            <w:tcBorders>
              <w:top w:val="nil"/>
              <w:left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35" w:type="dxa"/>
            <w:tcBorders>
              <w:top w:val="nil"/>
              <w:left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May 2020</w:t>
            </w:r>
          </w:p>
        </w:tc>
        <w:tc>
          <w:tcPr>
            <w:tcW w:w="1514" w:type="dxa"/>
            <w:tcBorders>
              <w:top w:val="nil"/>
              <w:left w:val="nil"/>
            </w:tcBorders>
          </w:tcPr>
          <w:p>
            <w:pPr>
              <w:pStyle w:val="Normal"/>
              <w:keepNext w:val="true"/>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Beta</w:t>
            </w:r>
          </w:p>
        </w:tc>
      </w:tr>
    </w:tbl>
    <w:p>
      <w:pPr>
        <w:pStyle w:val="Caption1"/>
        <w:spacing w:lineRule="auto" w:before="120" w:after="120"/>
        <w:jc w:val="center"/>
        <w:rPr>
          <w:i w:val="false"/>
          <w:i w:val="false"/>
          <w:iCs w:val="false"/>
          <w:sz w:val="16"/>
          <w:szCs w:val="16"/>
        </w:rPr>
      </w:pPr>
      <w:r>
        <w:rPr>
          <w:i w:val="false"/>
          <w:iCs w:val="false"/>
          <w:sz w:val="16"/>
          <w:szCs w:val="16"/>
        </w:rPr>
        <w:t>Table 4:  Generic NEMS Event Messages</w:t>
      </w:r>
    </w:p>
    <w:p>
      <w:pPr>
        <w:pStyle w:val="Normal"/>
        <w:spacing w:before="120" w:after="120"/>
        <w:rPr/>
      </w:pPr>
      <w:r>
        <w:rPr/>
      </w:r>
    </w:p>
    <w:p>
      <w:pPr>
        <w:pStyle w:val="Heading3"/>
        <w:numPr>
          <w:ilvl w:val="2"/>
          <w:numId w:val="4"/>
        </w:numPr>
        <w:rPr/>
      </w:pPr>
      <w:bookmarkStart w:id="43" w:name="_Toc48895928"/>
      <w:bookmarkStart w:id="44" w:name="_Toc37167690"/>
      <w:r>
        <w:rPr/>
        <w:t>Digital Child Health Event Messages</w:t>
      </w:r>
      <w:bookmarkEnd w:id="43"/>
      <w:bookmarkEnd w:id="44"/>
    </w:p>
    <w:p>
      <w:pPr>
        <w:pStyle w:val="NormalWeb"/>
        <w:spacing w:lineRule="auto" w:beforeAutospacing="0" w:before="120" w:afterAutospacing="0" w:after="120"/>
        <w:rPr>
          <w:rFonts w:ascii="Arial" w:hAnsi="Arial"/>
          <w:color w:val="0F0F0F" w:themeColor="text1"/>
          <w:lang w:val="en-GB"/>
        </w:rPr>
      </w:pPr>
      <w:r>
        <w:rPr>
          <w:rFonts w:ascii="Arial" w:hAnsi="Arial"/>
          <w:color w:val="0F0F0F" w:themeColor="text1"/>
          <w:lang w:val="en-GB"/>
        </w:rPr>
        <w:t>The following event message are supported by the NEMS but have been defined by Digital Child Health.</w:t>
      </w:r>
    </w:p>
    <w:tbl>
      <w:tblPr>
        <w:tblStyle w:val="LightList-Accent11"/>
        <w:tblW w:w="9844" w:type="dxa"/>
        <w:jc w:val="left"/>
        <w:tblInd w:w="0" w:type="dxa"/>
        <w:tblCellMar>
          <w:top w:w="0" w:type="dxa"/>
          <w:left w:w="108" w:type="dxa"/>
          <w:bottom w:w="0" w:type="dxa"/>
          <w:right w:w="108" w:type="dxa"/>
        </w:tblCellMar>
        <w:tblLook w:firstRow="1" w:noVBand="1" w:lastRow="0" w:firstColumn="1" w:lastColumn="0" w:noHBand="0" w:val="04a0"/>
      </w:tblPr>
      <w:tblGrid>
        <w:gridCol w:w="1934"/>
        <w:gridCol w:w="1852"/>
        <w:gridCol w:w="1502"/>
        <w:gridCol w:w="1647"/>
        <w:gridCol w:w="1357"/>
        <w:gridCol w:w="1551"/>
      </w:tblGrid>
      <w:tr>
        <w:trPr>
          <w:cnfStyle w:val="100000000000" w:firstRow="1" w:lastRow="0" w:firstColumn="0" w:lastColumn="0" w:oddVBand="0" w:evenVBand="0" w:oddHBand="0" w:evenHBand="0" w:firstRowFirstColumn="0" w:firstRowLastColumn="0" w:lastRowFirstColumn="0" w:lastRowLastColumn="0"/>
        </w:trPr>
        <w:tc>
          <w:tcPr>
            <w:tcW w:w="1934"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005EB8" w:themeFill="accent1" w:val="clear"/>
          </w:tcPr>
          <w:p>
            <w:pPr>
              <w:pStyle w:val="Normal"/>
              <w:spacing w:lineRule="auto" w:before="120" w:after="120"/>
              <w:jc w:val="center"/>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Event</w:t>
            </w:r>
          </w:p>
        </w:tc>
        <w:tc>
          <w:tcPr>
            <w:tcW w:w="1852" w:type="dxa"/>
            <w:tcBorders>
              <w:left w:val="nil"/>
              <w:bottom w:val="nil"/>
              <w:right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Event Code</w:t>
            </w:r>
          </w:p>
        </w:tc>
        <w:tc>
          <w:tcPr>
            <w:tcW w:w="1502" w:type="dxa"/>
            <w:tcBorders>
              <w:left w:val="nil"/>
              <w:bottom w:val="nil"/>
              <w:right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Publication API</w:t>
            </w:r>
          </w:p>
        </w:tc>
        <w:tc>
          <w:tcPr>
            <w:tcW w:w="1647" w:type="dxa"/>
            <w:tcBorders>
              <w:left w:val="nil"/>
              <w:bottom w:val="nil"/>
              <w:right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Subscription API</w:t>
            </w:r>
          </w:p>
        </w:tc>
        <w:tc>
          <w:tcPr>
            <w:tcW w:w="1357" w:type="dxa"/>
            <w:tcBorders>
              <w:left w:val="nil"/>
              <w:bottom w:val="nil"/>
              <w:right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Date Available</w:t>
            </w:r>
          </w:p>
        </w:tc>
        <w:tc>
          <w:tcPr>
            <w:tcW w:w="1551" w:type="dxa"/>
            <w:tcBorders>
              <w:left w:val="nil"/>
              <w:bottom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sz w:val="20"/>
                <w:szCs w:val="20"/>
              </w:rPr>
            </w:pPr>
            <w:r>
              <w:rPr>
                <w:rFonts w:eastAsia="ＭＳ Ｐゴシック" w:cs="Arial" w:cstheme="minorBidi" w:eastAsiaTheme="minorEastAsia"/>
                <w:b/>
                <w:bCs/>
                <w:color w:val="FFFFFF" w:themeColor="background1"/>
                <w:sz w:val="20"/>
                <w:szCs w:val="20"/>
                <w:lang w:eastAsia="en-GB"/>
              </w:rPr>
              <w:t>Event Maturity</w:t>
            </w:r>
          </w:p>
        </w:tc>
      </w:tr>
      <w:tr>
        <w:trPr>
          <w:cnfStyle w:val="000000100000" w:firstRow="0" w:lastRow="0" w:firstColumn="0" w:lastColumn="0" w:oddVBand="0" w:evenVBand="0" w:oddHBand="1" w:evenHBand="0" w:firstRowFirstColumn="0" w:firstRowLastColumn="0" w:lastRowFirstColumn="0" w:lastRowLastColumn="0"/>
        </w:trPr>
        <w:tc>
          <w:tcPr>
            <w:tcW w:w="1934"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before="120" w:after="120"/>
              <w:rPr>
                <w:rFonts w:cs="Arial"/>
                <w:color w:val="000000"/>
                <w:sz w:val="20"/>
                <w:szCs w:val="20"/>
              </w:rPr>
            </w:pPr>
            <w:hyperlink r:id="rId26">
              <w:r>
                <w:rPr>
                  <w:rStyle w:val="InternetLink"/>
                  <w:rFonts w:eastAsia="ＭＳ Ｐゴシック" w:cs="Arial" w:cstheme="minorBidi" w:eastAsiaTheme="minorEastAsia"/>
                  <w:b/>
                  <w:bCs/>
                  <w:sz w:val="20"/>
                  <w:szCs w:val="22"/>
                  <w:lang w:eastAsia="en-GB"/>
                </w:rPr>
                <w:t>Blood Spot Test Outcome</w:t>
              </w:r>
            </w:hyperlink>
          </w:p>
        </w:tc>
        <w:tc>
          <w:tcPr>
            <w:tcW w:w="1852" w:type="dxa"/>
            <w:tcBorders/>
          </w:tcPr>
          <w:p>
            <w:pPr>
              <w:pStyle w:val="Normal"/>
              <w:spacing w:lineRule="auto" w:before="120"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blood-spot-test-outcome-1</w:t>
            </w:r>
          </w:p>
        </w:tc>
        <w:tc>
          <w:tcPr>
            <w:tcW w:w="1502"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47"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57" w:type="dxa"/>
            <w:tcBorders/>
          </w:tcPr>
          <w:p>
            <w:pPr>
              <w:pStyle w:val="Normal"/>
              <w:spacing w:lineRule="auto" w:before="120"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October 2019</w:t>
            </w:r>
          </w:p>
        </w:tc>
        <w:tc>
          <w:tcPr>
            <w:tcW w:w="1551" w:type="dxa"/>
            <w:tcBorders/>
          </w:tcPr>
          <w:p>
            <w:pPr>
              <w:pStyle w:val="Normal"/>
              <w:spacing w:lineRule="auto" w:before="120"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Release Candidate</w:t>
            </w:r>
          </w:p>
        </w:tc>
      </w:tr>
      <w:tr>
        <w:trPr/>
        <w:tc>
          <w:tcPr>
            <w:tcW w:w="1934"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tcPr>
          <w:p>
            <w:pPr>
              <w:pStyle w:val="Normal"/>
              <w:spacing w:lineRule="auto" w:before="120" w:after="120"/>
              <w:rPr>
                <w:rFonts w:cs="Arial"/>
                <w:color w:val="000000"/>
                <w:sz w:val="20"/>
                <w:szCs w:val="20"/>
              </w:rPr>
            </w:pPr>
            <w:hyperlink r:id="rId27">
              <w:r>
                <w:rPr>
                  <w:rStyle w:val="InternetLink"/>
                  <w:rFonts w:eastAsia="ＭＳ Ｐゴシック" w:cs="Arial" w:cstheme="minorBidi" w:eastAsiaTheme="minorEastAsia"/>
                  <w:b/>
                  <w:bCs/>
                  <w:sz w:val="20"/>
                  <w:szCs w:val="22"/>
                  <w:lang w:eastAsia="en-GB"/>
                </w:rPr>
                <w:t>Newborn Hearing</w:t>
              </w:r>
            </w:hyperlink>
          </w:p>
        </w:tc>
        <w:tc>
          <w:tcPr>
            <w:tcW w:w="1852" w:type="dxa"/>
            <w:tcBorders>
              <w:top w:val="nil"/>
              <w:left w:val="nil"/>
              <w:bottom w:val="nil"/>
              <w:right w:val="nil"/>
            </w:tcBorders>
          </w:tcPr>
          <w:p>
            <w:pPr>
              <w:pStyle w:val="Normal"/>
              <w:spacing w:lineRule="auto" w:before="120" w:after="12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newborn-hearing-1</w:t>
            </w:r>
          </w:p>
        </w:tc>
        <w:tc>
          <w:tcPr>
            <w:tcW w:w="1502"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47" w:type="dxa"/>
            <w:tcBorders>
              <w:top w:val="nil"/>
              <w:left w:val="nil"/>
              <w:bottom w:val="nil"/>
              <w:right w:val="nil"/>
            </w:tcBorders>
          </w:tcPr>
          <w:p>
            <w:pPr>
              <w:pStyle w:val="Normal"/>
              <w:spacing w:lineRule="auto" w:before="120" w:after="120"/>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57" w:type="dxa"/>
            <w:tcBorders>
              <w:top w:val="nil"/>
              <w:left w:val="nil"/>
              <w:bottom w:val="nil"/>
              <w:right w:val="nil"/>
            </w:tcBorders>
          </w:tcPr>
          <w:p>
            <w:pPr>
              <w:pStyle w:val="Normal"/>
              <w:spacing w:lineRule="auto" w:before="120" w:after="12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October 2019</w:t>
            </w:r>
          </w:p>
        </w:tc>
        <w:tc>
          <w:tcPr>
            <w:tcW w:w="1551" w:type="dxa"/>
            <w:tcBorders>
              <w:top w:val="nil"/>
              <w:left w:val="nil"/>
              <w:bottom w:val="nil"/>
            </w:tcBorders>
          </w:tcPr>
          <w:p>
            <w:pPr>
              <w:pStyle w:val="Normal"/>
              <w:spacing w:lineRule="auto" w:before="120" w:after="120"/>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Release Candidate</w:t>
            </w:r>
          </w:p>
        </w:tc>
      </w:tr>
      <w:tr>
        <w:trPr>
          <w:cnfStyle w:val="000000100000" w:firstRow="0" w:lastRow="0" w:firstColumn="0" w:lastColumn="0" w:oddVBand="0" w:evenVBand="0" w:oddHBand="1" w:evenHBand="0" w:firstRowFirstColumn="0" w:firstRowLastColumn="0" w:lastRowFirstColumn="0" w:lastRowLastColumn="0"/>
        </w:trPr>
        <w:tc>
          <w:tcPr>
            <w:tcW w:w="1934"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before="120" w:after="120"/>
              <w:rPr>
                <w:rFonts w:cs="Arial"/>
                <w:color w:val="000000"/>
                <w:sz w:val="20"/>
                <w:szCs w:val="20"/>
              </w:rPr>
            </w:pPr>
            <w:hyperlink r:id="rId28">
              <w:r>
                <w:rPr>
                  <w:rStyle w:val="InternetLink"/>
                  <w:rFonts w:eastAsia="ＭＳ Ｐゴシック" w:cs="Arial" w:cstheme="minorBidi" w:eastAsiaTheme="minorEastAsia"/>
                  <w:b/>
                  <w:bCs/>
                  <w:sz w:val="20"/>
                  <w:szCs w:val="22"/>
                  <w:lang w:eastAsia="en-GB"/>
                </w:rPr>
                <w:t>NIPE Outcome</w:t>
              </w:r>
            </w:hyperlink>
          </w:p>
        </w:tc>
        <w:tc>
          <w:tcPr>
            <w:tcW w:w="1852" w:type="dxa"/>
            <w:tcBorders/>
          </w:tcPr>
          <w:p>
            <w:pPr>
              <w:pStyle w:val="Normal"/>
              <w:spacing w:lineRule="auto" w:before="120"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nipe-outcome-1</w:t>
            </w:r>
          </w:p>
        </w:tc>
        <w:tc>
          <w:tcPr>
            <w:tcW w:w="1502"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647" w:type="dxa"/>
            <w:tcBorders/>
          </w:tcPr>
          <w:p>
            <w:pPr>
              <w:pStyle w:val="Normal"/>
              <w:spacing w:lineRule="auto" w:before="120" w:after="120"/>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Segoe UI Emoji" w:eastAsiaTheme="minorEastAsia" w:ascii="Segoe UI Emoji" w:hAnsi="Segoe UI Emoji"/>
                <w:color w:val="000000"/>
                <w:sz w:val="20"/>
                <w:szCs w:val="20"/>
                <w:lang w:eastAsia="en-GB"/>
              </w:rPr>
              <w:t>✅</w:t>
            </w:r>
          </w:p>
        </w:tc>
        <w:tc>
          <w:tcPr>
            <w:tcW w:w="1357" w:type="dxa"/>
            <w:tcBorders/>
          </w:tcPr>
          <w:p>
            <w:pPr>
              <w:pStyle w:val="Normal"/>
              <w:spacing w:lineRule="auto" w:before="120"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October 2019</w:t>
            </w:r>
          </w:p>
        </w:tc>
        <w:tc>
          <w:tcPr>
            <w:tcW w:w="1551" w:type="dxa"/>
            <w:tcBorders/>
          </w:tcPr>
          <w:p>
            <w:pPr>
              <w:pStyle w:val="Normal"/>
              <w:keepNext w:val="true"/>
              <w:spacing w:lineRule="auto" w:before="120" w:after="120"/>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eastAsia="ＭＳ Ｐゴシック" w:cs="Arial" w:cstheme="minorBidi" w:eastAsiaTheme="minorEastAsia"/>
                <w:color w:val="000000"/>
                <w:sz w:val="20"/>
                <w:szCs w:val="20"/>
                <w:lang w:eastAsia="en-GB"/>
              </w:rPr>
              <w:t>Release Candidate</w:t>
            </w:r>
          </w:p>
        </w:tc>
      </w:tr>
    </w:tbl>
    <w:p>
      <w:pPr>
        <w:pStyle w:val="Caption1"/>
        <w:spacing w:lineRule="auto" w:before="120" w:after="120"/>
        <w:jc w:val="center"/>
        <w:rPr>
          <w:sz w:val="16"/>
          <w:szCs w:val="16"/>
        </w:rPr>
      </w:pPr>
      <w:r>
        <w:rPr>
          <w:i w:val="false"/>
          <w:iCs w:val="false"/>
          <w:sz w:val="16"/>
          <w:szCs w:val="16"/>
        </w:rPr>
        <w:t>Table 5: DCH Specific Event Messages</w:t>
      </w:r>
    </w:p>
    <w:p>
      <w:pPr>
        <w:pStyle w:val="Normal"/>
        <w:spacing w:lineRule="auto" w:before="120" w:after="120"/>
        <w:rPr/>
      </w:pPr>
      <w:r>
        <w:rPr/>
      </w:r>
    </w:p>
    <w:p>
      <w:pPr>
        <w:pStyle w:val="Heading2"/>
        <w:numPr>
          <w:ilvl w:val="1"/>
          <w:numId w:val="4"/>
        </w:numPr>
        <w:rPr/>
      </w:pPr>
      <w:bookmarkStart w:id="45" w:name="_Toc48895929"/>
      <w:bookmarkStart w:id="46" w:name="_Toc37167691"/>
      <w:r>
        <w:rPr/>
        <w:t>Publishing</w:t>
      </w:r>
      <w:bookmarkEnd w:id="45"/>
      <w:bookmarkEnd w:id="46"/>
    </w:p>
    <w:p>
      <w:pPr>
        <w:pStyle w:val="Normal"/>
        <w:spacing w:lineRule="auto" w:before="120" w:after="120"/>
        <w:rPr/>
      </w:pPr>
      <w:r>
        <w:rPr/>
        <w:t>The following process outlines the high-level business process for the publishing of events to the National Event Management service.</w:t>
      </w:r>
    </w:p>
    <w:p>
      <w:pPr>
        <w:pStyle w:val="Normal"/>
        <w:spacing w:lineRule="auto" w:before="120" w:after="120"/>
        <w:rPr/>
      </w:pPr>
      <w:r>
        <w:rPr/>
      </w:r>
    </w:p>
    <w:p>
      <w:pPr>
        <w:pStyle w:val="Normal"/>
        <w:keepNext w:val="true"/>
        <w:spacing w:lineRule="auto" w:before="120" w:after="120"/>
        <w:jc w:val="center"/>
        <w:rPr/>
      </w:pPr>
      <w:r>
        <w:rPr/>
        <w:drawing>
          <wp:inline distT="0" distB="0" distL="0" distR="0">
            <wp:extent cx="3883025" cy="3629025"/>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29">
                      <a:grayscl/>
                    </a:blip>
                    <a:srcRect l="20197" t="10735" r="25335" b="0"/>
                    <a:stretch>
                      <a:fillRect/>
                    </a:stretch>
                  </pic:blipFill>
                  <pic:spPr bwMode="auto">
                    <a:xfrm>
                      <a:off x="0" y="0"/>
                      <a:ext cx="3883025" cy="3629025"/>
                    </a:xfrm>
                    <a:prstGeom prst="rect">
                      <a:avLst/>
                    </a:prstGeom>
                  </pic:spPr>
                </pic:pic>
              </a:graphicData>
            </a:graphic>
          </wp:inline>
        </w:drawing>
      </w:r>
    </w:p>
    <w:p>
      <w:pPr>
        <w:pStyle w:val="Caption1"/>
        <w:spacing w:lineRule="auto" w:before="120" w:after="120"/>
        <w:jc w:val="center"/>
        <w:rPr>
          <w:i w:val="false"/>
          <w:i w:val="false"/>
          <w:iCs w:val="false"/>
          <w:sz w:val="16"/>
          <w:szCs w:val="16"/>
        </w:rPr>
      </w:pPr>
      <w:r>
        <w:rPr>
          <w:i w:val="false"/>
          <w:iCs w:val="false"/>
          <w:sz w:val="16"/>
          <w:szCs w:val="16"/>
        </w:rPr>
        <w:t xml:space="preserve">Figure </w:t>
      </w:r>
      <w:r>
        <w:rPr>
          <w:i w:val="false"/>
          <w:iCs w:val="false"/>
          <w:sz w:val="16"/>
          <w:szCs w:val="16"/>
        </w:rPr>
        <w:fldChar w:fldCharType="begin"/>
      </w:r>
      <w:r>
        <w:rPr>
          <w:sz w:val="16"/>
          <w:i w:val="false"/>
          <w:szCs w:val="16"/>
          <w:iCs w:val="false"/>
        </w:rPr>
        <w:instrText> SEQ Figure \* ARABIC </w:instrText>
      </w:r>
      <w:r>
        <w:rPr>
          <w:sz w:val="16"/>
          <w:i w:val="false"/>
          <w:szCs w:val="16"/>
          <w:iCs w:val="false"/>
        </w:rPr>
        <w:fldChar w:fldCharType="separate"/>
      </w:r>
      <w:r>
        <w:rPr>
          <w:sz w:val="16"/>
          <w:i w:val="false"/>
          <w:szCs w:val="16"/>
          <w:iCs w:val="false"/>
        </w:rPr>
        <w:t>4</w:t>
      </w:r>
      <w:r>
        <w:rPr>
          <w:sz w:val="16"/>
          <w:i w:val="false"/>
          <w:szCs w:val="16"/>
          <w:iCs w:val="false"/>
        </w:rPr>
        <w:fldChar w:fldCharType="end"/>
      </w:r>
      <w:r>
        <w:rPr>
          <w:i w:val="false"/>
          <w:iCs w:val="false"/>
          <w:sz w:val="16"/>
          <w:szCs w:val="16"/>
        </w:rPr>
        <w:t>: Publishing to NEMS Process</w:t>
      </w:r>
    </w:p>
    <w:p>
      <w:pPr>
        <w:pStyle w:val="Normal"/>
        <w:rPr/>
      </w:pPr>
      <w:r>
        <w:rPr/>
      </w:r>
    </w:p>
    <w:p>
      <w:pPr>
        <w:pStyle w:val="Heading2"/>
        <w:numPr>
          <w:ilvl w:val="1"/>
          <w:numId w:val="4"/>
        </w:numPr>
        <w:rPr/>
      </w:pPr>
      <w:bookmarkStart w:id="47" w:name="_Toc48895930"/>
      <w:bookmarkStart w:id="48" w:name="_Toc37167692"/>
      <w:r>
        <w:rPr/>
        <w:t>Subscribing</w:t>
      </w:r>
      <w:bookmarkEnd w:id="47"/>
      <w:bookmarkEnd w:id="48"/>
    </w:p>
    <w:p>
      <w:pPr>
        <w:pStyle w:val="Normal"/>
        <w:spacing w:lineRule="auto" w:before="120" w:after="120"/>
        <w:rPr/>
      </w:pPr>
      <w:r>
        <w:rPr/>
        <w:t>The following process outlines the high-level business process for subscribing to events from the National Event Management service.</w:t>
      </w:r>
    </w:p>
    <w:p>
      <w:pPr>
        <w:pStyle w:val="Normal"/>
        <w:keepNext w:val="true"/>
        <w:spacing w:lineRule="auto" w:before="120" w:after="120"/>
        <w:jc w:val="center"/>
        <w:rPr/>
      </w:pPr>
      <w:r>
        <w:rPr/>
        <w:drawing>
          <wp:inline distT="0" distB="0" distL="0" distR="0">
            <wp:extent cx="3749675" cy="4291330"/>
            <wp:effectExtent l="0" t="0" r="0" b="0"/>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30">
                      <a:grayscl/>
                    </a:blip>
                    <a:srcRect l="24397" t="8033" r="26398" b="0"/>
                    <a:stretch>
                      <a:fillRect/>
                    </a:stretch>
                  </pic:blipFill>
                  <pic:spPr bwMode="auto">
                    <a:xfrm>
                      <a:off x="0" y="0"/>
                      <a:ext cx="3749675" cy="4291330"/>
                    </a:xfrm>
                    <a:prstGeom prst="rect">
                      <a:avLst/>
                    </a:prstGeom>
                  </pic:spPr>
                </pic:pic>
              </a:graphicData>
            </a:graphic>
          </wp:inline>
        </w:drawing>
      </w:r>
    </w:p>
    <w:p>
      <w:pPr>
        <w:pStyle w:val="Caption1"/>
        <w:spacing w:lineRule="auto" w:before="120" w:after="120"/>
        <w:jc w:val="center"/>
        <w:rPr>
          <w:i w:val="false"/>
          <w:i w:val="false"/>
          <w:iCs w:val="false"/>
          <w:sz w:val="16"/>
          <w:szCs w:val="16"/>
        </w:rPr>
      </w:pPr>
      <w:r>
        <w:rPr>
          <w:i w:val="false"/>
          <w:iCs w:val="false"/>
          <w:sz w:val="16"/>
          <w:szCs w:val="16"/>
        </w:rPr>
        <w:t xml:space="preserve">Figure </w:t>
      </w:r>
      <w:r>
        <w:rPr>
          <w:i w:val="false"/>
          <w:iCs w:val="false"/>
          <w:sz w:val="16"/>
          <w:szCs w:val="16"/>
        </w:rPr>
        <w:fldChar w:fldCharType="begin"/>
      </w:r>
      <w:r>
        <w:rPr>
          <w:sz w:val="16"/>
          <w:i w:val="false"/>
          <w:szCs w:val="16"/>
          <w:iCs w:val="false"/>
        </w:rPr>
        <w:instrText> SEQ Figure \* ARABIC </w:instrText>
      </w:r>
      <w:r>
        <w:rPr>
          <w:sz w:val="16"/>
          <w:i w:val="false"/>
          <w:szCs w:val="16"/>
          <w:iCs w:val="false"/>
        </w:rPr>
        <w:fldChar w:fldCharType="separate"/>
      </w:r>
      <w:r>
        <w:rPr>
          <w:sz w:val="16"/>
          <w:i w:val="false"/>
          <w:szCs w:val="16"/>
          <w:iCs w:val="false"/>
        </w:rPr>
        <w:t>5</w:t>
      </w:r>
      <w:r>
        <w:rPr>
          <w:sz w:val="16"/>
          <w:i w:val="false"/>
          <w:szCs w:val="16"/>
          <w:iCs w:val="false"/>
        </w:rPr>
        <w:fldChar w:fldCharType="end"/>
      </w:r>
      <w:r>
        <w:rPr>
          <w:i w:val="false"/>
          <w:iCs w:val="false"/>
          <w:sz w:val="16"/>
          <w:szCs w:val="16"/>
        </w:rPr>
        <w:t>: Subscribing to NEMS</w:t>
      </w:r>
    </w:p>
    <w:p>
      <w:pPr>
        <w:pStyle w:val="Normal"/>
        <w:rPr/>
      </w:pPr>
      <w:r>
        <w:rPr/>
      </w:r>
    </w:p>
    <w:p>
      <w:pPr>
        <w:pStyle w:val="Heading2"/>
        <w:numPr>
          <w:ilvl w:val="1"/>
          <w:numId w:val="4"/>
        </w:numPr>
        <w:rPr/>
      </w:pPr>
      <w:bookmarkStart w:id="49" w:name="_Toc48895931"/>
      <w:bookmarkStart w:id="50" w:name="_Toc37167693"/>
      <w:r>
        <w:rPr/>
        <w:t>Subscriptions Management</w:t>
      </w:r>
      <w:bookmarkEnd w:id="49"/>
      <w:bookmarkEnd w:id="50"/>
    </w:p>
    <w:p>
      <w:pPr>
        <w:pStyle w:val="Normal"/>
        <w:spacing w:lineRule="auto" w:before="120" w:after="120"/>
        <w:rPr/>
      </w:pPr>
      <w:r>
        <w:rPr/>
        <w:t>The current manual process of reviewing and processing subscription requests for the creation of generic subscription requests in the National Event Management service is not long-term sustainable or efficient for NHS Digital – the following outlines the current process.</w:t>
      </w:r>
    </w:p>
    <w:p>
      <w:pPr>
        <w:pStyle w:val="Normal"/>
        <w:spacing w:lineRule="auto" w:before="120" w:after="120"/>
        <w:rPr/>
      </w:pPr>
      <w:r>
        <w:rPr/>
        <w:drawing>
          <wp:inline distT="0" distB="0" distL="0" distR="0" wp14:anchorId="795D6C46">
            <wp:extent cx="6264275" cy="1343025"/>
            <wp:effectExtent l="0" t="0" r="22860" b="0"/>
            <wp:docPr id="12" name="Diagram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pPr>
        <w:pStyle w:val="Normal"/>
        <w:spacing w:lineRule="auto" w:before="120" w:after="120"/>
        <w:rPr/>
      </w:pPr>
      <w:r>
        <w:rPr/>
        <w:t>The long-term plan is the development of the strategic solution which will support self-service in the creation and management of subscriptions and allow suppliers and end users to create their own generic and explicit subscriptions.</w:t>
      </w:r>
    </w:p>
    <w:p>
      <w:pPr>
        <w:pStyle w:val="Normal"/>
        <w:spacing w:lineRule="auto" w:before="120" w:after="120"/>
        <w:rPr/>
      </w:pPr>
      <w:r>
        <w:rPr/>
      </w:r>
    </w:p>
    <w:p>
      <w:pPr>
        <w:pStyle w:val="Heading3"/>
        <w:numPr>
          <w:ilvl w:val="2"/>
          <w:numId w:val="4"/>
        </w:numPr>
        <w:rPr>
          <w:lang w:val="en"/>
        </w:rPr>
      </w:pPr>
      <w:bookmarkStart w:id="51" w:name="_Toc48895932"/>
      <w:bookmarkStart w:id="52" w:name="_Toc37167694"/>
      <w:r>
        <w:rPr>
          <w:lang w:val="en"/>
        </w:rPr>
        <w:t>Explicit Subscription</w:t>
      </w:r>
      <w:bookmarkEnd w:id="52"/>
      <w:r>
        <w:rPr>
          <w:lang w:val="en"/>
        </w:rPr>
        <w:t>s</w:t>
      </w:r>
      <w:bookmarkEnd w:id="51"/>
    </w:p>
    <w:p>
      <w:pPr>
        <w:pStyle w:val="Normal"/>
        <w:spacing w:lineRule="auto" w:before="120" w:after="120"/>
        <w:rPr>
          <w:rFonts w:cs="Arial"/>
          <w:lang w:val="en"/>
        </w:rPr>
      </w:pPr>
      <w:r>
        <w:rPr>
          <w:rFonts w:cs="Arial"/>
          <w:lang w:val="en"/>
        </w:rPr>
        <w:t>An explicit subscription relates to where a subscriber wishes to receive event messages for a specific patient, for example, a Pharmacist wishing to receive hospital admission and discharge events for a specific Patient.</w:t>
      </w:r>
    </w:p>
    <w:p>
      <w:pPr>
        <w:pStyle w:val="Normal"/>
        <w:spacing w:lineRule="auto" w:before="120" w:after="120"/>
        <w:rPr>
          <w:rFonts w:cs="Arial"/>
          <w:lang w:val="en"/>
        </w:rPr>
      </w:pPr>
      <w:r>
        <w:rPr>
          <w:rFonts w:cs="Arial"/>
          <w:lang w:val="en"/>
        </w:rPr>
        <w:t xml:space="preserve">Explicit subscriptions should only be active for patients under the subscribing organisation’s direct care.  Explicit subscriptions for a patient should be stopped when the patient leaves the subscribing organisation’s direct care. </w:t>
      </w:r>
    </w:p>
    <w:p>
      <w:pPr>
        <w:pStyle w:val="Normal"/>
        <w:spacing w:lineRule="auto" w:before="120" w:after="120"/>
        <w:rPr>
          <w:rFonts w:cs="Arial"/>
          <w:b/>
          <w:b/>
          <w:bCs/>
          <w:lang w:val="en"/>
        </w:rPr>
      </w:pPr>
      <w:r>
        <w:rPr>
          <w:rFonts w:cs="Arial"/>
          <w:b/>
          <w:bCs/>
          <w:lang w:val="en"/>
        </w:rPr>
      </w:r>
    </w:p>
    <w:p>
      <w:pPr>
        <w:pStyle w:val="Heading3"/>
        <w:numPr>
          <w:ilvl w:val="2"/>
          <w:numId w:val="4"/>
        </w:numPr>
        <w:rPr>
          <w:lang w:val="en"/>
        </w:rPr>
      </w:pPr>
      <w:bookmarkStart w:id="53" w:name="_Toc48895933"/>
      <w:r>
        <w:rPr>
          <w:lang w:val="en"/>
        </w:rPr>
        <w:t>Rule-Based (Generic) Subscriptions</w:t>
      </w:r>
      <w:bookmarkEnd w:id="53"/>
    </w:p>
    <w:p>
      <w:pPr>
        <w:pStyle w:val="Normal"/>
        <w:spacing w:lineRule="auto" w:before="120" w:after="120"/>
        <w:rPr>
          <w:rFonts w:cs="Arial"/>
          <w:lang w:val="en"/>
        </w:rPr>
      </w:pPr>
      <w:r>
        <w:rPr>
          <w:rFonts w:cs="Arial"/>
          <w:lang w:val="en"/>
        </w:rPr>
        <w:t>Rule-based subscriptions relate to where a subscriber wishes to receive events that meet a particular rule set rather than for a specific patient.  There are currently two specific types of rule-based subscriptions:</w:t>
      </w:r>
    </w:p>
    <w:p>
      <w:pPr>
        <w:pStyle w:val="ListParagraph"/>
        <w:numPr>
          <w:ilvl w:val="0"/>
          <w:numId w:val="17"/>
        </w:numPr>
        <w:spacing w:lineRule="auto" w:before="120" w:after="120"/>
        <w:rPr>
          <w:rFonts w:cs="Arial"/>
          <w:lang w:val="en"/>
        </w:rPr>
      </w:pPr>
      <w:r>
        <w:rPr>
          <w:rStyle w:val="Strong"/>
          <w:rFonts w:cs="Arial"/>
          <w:lang w:val="en"/>
        </w:rPr>
        <w:t>Geographical</w:t>
      </w:r>
      <w:r>
        <w:rPr>
          <w:rFonts w:cs="Arial"/>
          <w:lang w:val="en"/>
        </w:rPr>
        <w:t>: Subscriptions that relate to individuals who live in or are registered with a GP that is located within the geographic boundaries of a specific organisation (For example, a Health Visiting Service wishing to view events for all children within a specific local authority’s area of responsibility).</w:t>
      </w:r>
    </w:p>
    <w:p>
      <w:pPr>
        <w:pStyle w:val="Normal"/>
        <w:spacing w:lineRule="auto" w:before="120" w:after="120"/>
        <w:rPr>
          <w:rFonts w:cs="Arial"/>
          <w:lang w:val="en"/>
        </w:rPr>
      </w:pPr>
      <w:r>
        <w:rPr>
          <w:rFonts w:cs="Arial"/>
          <w:lang w:val="en"/>
        </w:rPr>
        <w:t>A geographical rule-based subscription will result in a subscriber receiving events for any patients within the specified geographical area, therefore a subscriber wishing to use this form of subscription must have a legitimate relationship with all patients in the area.  If a provider is only responsible for a subset of patients within a geographical area, then geographical subscriptions are not appropriate as the provider will receive information for patients with which they do not have a legitimate relationship. In this scenario the provider should use explicit subscriptions to receive events for the patients with which they have a legitimate relationship.</w:t>
      </w:r>
    </w:p>
    <w:p>
      <w:pPr>
        <w:pStyle w:val="ListParagraph"/>
        <w:numPr>
          <w:ilvl w:val="0"/>
          <w:numId w:val="17"/>
        </w:numPr>
        <w:spacing w:lineRule="auto" w:before="120" w:after="120"/>
        <w:rPr>
          <w:rFonts w:cs="Arial"/>
          <w:lang w:val="en"/>
        </w:rPr>
      </w:pPr>
      <w:r>
        <w:rPr>
          <w:rStyle w:val="Strong"/>
          <w:rFonts w:cs="Arial"/>
          <w:lang w:val="en"/>
        </w:rPr>
        <w:t>Registered Org</w:t>
      </w:r>
      <w:r>
        <w:rPr>
          <w:rFonts w:cs="Arial"/>
          <w:lang w:val="en"/>
        </w:rPr>
        <w:t>: Subscriptions that relate to individuals who are registered with a specific organisation (currently only applicable for GP organisations).</w:t>
      </w:r>
    </w:p>
    <w:p>
      <w:pPr>
        <w:pStyle w:val="Normal"/>
        <w:spacing w:lineRule="auto" w:before="120" w:after="120"/>
        <w:rPr>
          <w:rFonts w:cs="Arial"/>
          <w:lang w:val="en"/>
        </w:rPr>
      </w:pPr>
      <w:r>
        <w:rPr>
          <w:rFonts w:cs="Arial"/>
          <w:lang w:val="en"/>
        </w:rPr>
        <w:t>The following rule types are currently available for use within Generic Rule Based Subscriptions and the detail of the rules can be found in the Appendix:</w:t>
      </w:r>
    </w:p>
    <w:p>
      <w:pPr>
        <w:pStyle w:val="Normal"/>
        <w:spacing w:lineRule="auto" w:before="120" w:after="120"/>
        <w:rPr>
          <w:rFonts w:cs="Arial"/>
          <w:lang w:val="en"/>
        </w:rPr>
      </w:pPr>
      <w:r>
        <w:rPr>
          <w:rFonts w:cs="Arial"/>
          <w:lang w:val="en"/>
        </w:rPr>
      </w:r>
    </w:p>
    <w:tbl>
      <w:tblPr>
        <w:tblStyle w:val="LightList-Accent11"/>
        <w:tblW w:w="9844" w:type="dxa"/>
        <w:jc w:val="left"/>
        <w:tblInd w:w="0" w:type="dxa"/>
        <w:tblCellMar>
          <w:top w:w="0" w:type="dxa"/>
          <w:left w:w="108" w:type="dxa"/>
          <w:bottom w:w="0" w:type="dxa"/>
          <w:right w:w="108" w:type="dxa"/>
        </w:tblCellMar>
        <w:tblLook w:firstRow="1" w:noVBand="1" w:lastRow="0" w:firstColumn="1" w:lastColumn="0" w:noHBand="0" w:val="04a0"/>
      </w:tblPr>
      <w:tblGrid>
        <w:gridCol w:w="2687"/>
        <w:gridCol w:w="7156"/>
      </w:tblGrid>
      <w:tr>
        <w:trPr>
          <w:tblHeader w:val="true"/>
          <w:cnfStyle w:val="100000000000" w:firstRow="1" w:lastRow="0" w:firstColumn="0" w:lastColumn="0" w:oddVBand="0" w:evenVBand="0" w:oddHBand="0" w:evenHBand="0" w:firstRowFirstColumn="0" w:firstRowLastColumn="0" w:lastRowFirstColumn="0" w:lastRowLastColumn="0"/>
        </w:trPr>
        <w:tc>
          <w:tcPr>
            <w:tcW w:w="268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005EB8" w:themeFill="accent1" w:val="clear"/>
          </w:tcPr>
          <w:p>
            <w:pPr>
              <w:pStyle w:val="Normal"/>
              <w:spacing w:lineRule="auto" w:before="120" w:after="120"/>
              <w:jc w:val="center"/>
              <w:rPr>
                <w:rFonts w:cs="Arial"/>
                <w:b w:val="false"/>
                <w:b w:val="false"/>
                <w:bCs w:val="false"/>
                <w:color w:val="FFFFFF" w:themeColor="background1"/>
                <w:lang w:val="en"/>
              </w:rPr>
            </w:pPr>
            <w:r>
              <w:rPr>
                <w:rFonts w:eastAsia="ＭＳ Ｐゴシック" w:cs="Arial" w:cstheme="minorBidi" w:eastAsiaTheme="minorEastAsia"/>
                <w:b w:val="false"/>
                <w:bCs w:val="false"/>
                <w:color w:val="FFFFFF" w:themeColor="background1"/>
                <w:szCs w:val="22"/>
                <w:lang w:val="en" w:eastAsia="en-GB"/>
              </w:rPr>
              <w:t>Rule Name</w:t>
            </w:r>
          </w:p>
        </w:tc>
        <w:tc>
          <w:tcPr>
            <w:tcW w:w="7156" w:type="dxa"/>
            <w:tcBorders>
              <w:left w:val="nil"/>
              <w:bottom w:val="nil"/>
            </w:tcBorders>
            <w:shd w:color="auto" w:fill="005EB8" w:themeFill="accent1" w:val="clear"/>
          </w:tcPr>
          <w:p>
            <w:pPr>
              <w:pStyle w:val="Normal"/>
              <w:spacing w:lineRule="auto" w:before="120" w:after="120"/>
              <w:jc w:val="center"/>
              <w:cnfStyle w:val="100000000000" w:firstRow="1" w:lastRow="0" w:firstColumn="0" w:lastColumn="0" w:oddVBand="0" w:evenVBand="0" w:oddHBand="0" w:evenHBand="0" w:firstRowFirstColumn="0" w:firstRowLastColumn="0" w:lastRowFirstColumn="0" w:lastRowLastColumn="0"/>
              <w:rPr>
                <w:rFonts w:cs="Arial"/>
                <w:b w:val="false"/>
                <w:b w:val="false"/>
                <w:bCs w:val="false"/>
                <w:color w:val="FFFFFF" w:themeColor="background1"/>
                <w:lang w:val="en"/>
              </w:rPr>
            </w:pPr>
            <w:r>
              <w:rPr>
                <w:rFonts w:eastAsia="ＭＳ Ｐゴシック" w:cs="Arial" w:cstheme="minorBidi" w:eastAsiaTheme="minorEastAsia"/>
                <w:b w:val="false"/>
                <w:bCs w:val="false"/>
                <w:color w:val="FFFFFF" w:themeColor="background1"/>
                <w:szCs w:val="22"/>
                <w:lang w:val="en" w:eastAsia="en-GB"/>
              </w:rPr>
              <w:t>Details</w:t>
            </w:r>
          </w:p>
        </w:tc>
      </w:tr>
      <w:tr>
        <w:trPr>
          <w:cnfStyle w:val="000000100000" w:firstRow="0" w:lastRow="0" w:firstColumn="0" w:lastColumn="0" w:oddVBand="0" w:evenVBand="0" w:oddHBand="1" w:evenHBand="0" w:firstRowFirstColumn="0" w:firstRowLastColumn="0" w:lastRowFirstColumn="0" w:lastRowLastColumn="0"/>
        </w:trPr>
        <w:tc>
          <w:tcPr>
            <w:tcW w:w="26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before="120" w:after="120"/>
              <w:rPr>
                <w:rFonts w:cs="Times New Roman"/>
                <w:lang w:val="en"/>
              </w:rPr>
            </w:pPr>
            <w:r>
              <w:rPr>
                <w:rFonts w:eastAsia="ＭＳ Ｐゴシック" w:cs="Arial" w:cstheme="minorBidi" w:eastAsiaTheme="minorEastAsia"/>
                <w:b/>
                <w:bCs/>
                <w:szCs w:val="22"/>
                <w:lang w:val="en" w:eastAsia="en-GB"/>
              </w:rPr>
              <w:t>Patients Postcode within CCGs area of responsibility (Residential CHO)</w:t>
            </w:r>
          </w:p>
        </w:tc>
        <w:tc>
          <w:tcPr>
            <w:tcW w:w="7156" w:type="dxa"/>
            <w:tcBorders/>
          </w:tcPr>
          <w:p>
            <w:pPr>
              <w:pStyle w:val="ListParagraph"/>
              <w:numPr>
                <w:ilvl w:val="0"/>
                <w:numId w:val="17"/>
              </w:numPr>
              <w:spacing w:lineRule="auto" w:before="120" w:after="120"/>
              <w:cnfStyle w:val="000000100000" w:firstRow="0" w:lastRow="0" w:firstColumn="0" w:lastColumn="0" w:oddVBand="0" w:evenVBand="0" w:oddHBand="1"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 xml:space="preserve">NEMS matches the patient’s home postcode, from their PDS record, to a specific CCG based the areas of responsible for the different CCGs.  </w:t>
            </w:r>
          </w:p>
          <w:p>
            <w:pPr>
              <w:pStyle w:val="ListParagraph"/>
              <w:numPr>
                <w:ilvl w:val="0"/>
                <w:numId w:val="17"/>
              </w:numPr>
              <w:spacing w:lineRule="auto" w:before="120" w:after="120"/>
              <w:cnfStyle w:val="000000100000" w:firstRow="0" w:lastRow="0" w:firstColumn="0" w:lastColumn="0" w:oddVBand="0" w:evenVBand="0" w:oddHBand="1"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 xml:space="preserve">NEMS then looks for generic subscription rules which contain a CCG Code that matches the CCG responsible for the area in which the patient’s postcode resides.  </w:t>
            </w:r>
          </w:p>
          <w:p>
            <w:pPr>
              <w:pStyle w:val="ListParagraph"/>
              <w:numPr>
                <w:ilvl w:val="0"/>
                <w:numId w:val="17"/>
              </w:numPr>
              <w:spacing w:lineRule="auto" w:before="120" w:after="120"/>
              <w:cnfStyle w:val="000000100000" w:firstRow="0" w:lastRow="0" w:firstColumn="0" w:lastColumn="0" w:oddVBand="0" w:evenVBand="0" w:oddHBand="1"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A copy of the event message is sent to the mailboxes specified in those matching generic subscriptions.</w:t>
            </w:r>
          </w:p>
        </w:tc>
      </w:tr>
      <w:tr>
        <w:trPr/>
        <w:tc>
          <w:tcPr>
            <w:tcW w:w="2687"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tcPr>
          <w:p>
            <w:pPr>
              <w:pStyle w:val="Normal"/>
              <w:spacing w:lineRule="auto" w:before="120" w:after="120"/>
              <w:rPr>
                <w:rFonts w:cs="Times New Roman"/>
                <w:lang w:val="en"/>
              </w:rPr>
            </w:pPr>
            <w:r>
              <w:rPr>
                <w:rFonts w:eastAsia="ＭＳ Ｐゴシック" w:cs="Arial" w:cstheme="minorBidi" w:eastAsiaTheme="minorEastAsia"/>
                <w:b/>
                <w:bCs/>
                <w:szCs w:val="22"/>
                <w:lang w:val="en" w:eastAsia="en-GB"/>
              </w:rPr>
              <w:t>Patient’s Registered GP is a child of the CCG (CHO of registration)</w:t>
            </w:r>
          </w:p>
        </w:tc>
        <w:tc>
          <w:tcPr>
            <w:tcW w:w="7156" w:type="dxa"/>
            <w:tcBorders>
              <w:top w:val="nil"/>
              <w:left w:val="nil"/>
              <w:bottom w:val="nil"/>
            </w:tcBorders>
          </w:tcPr>
          <w:p>
            <w:pPr>
              <w:pStyle w:val="ListParagraph"/>
              <w:numPr>
                <w:ilvl w:val="0"/>
                <w:numId w:val="17"/>
              </w:numPr>
              <w:spacing w:lineRule="auto" w:before="120" w:after="120"/>
              <w:cnfStyle w:val="000000000000" w:firstRow="0" w:lastRow="0" w:firstColumn="0" w:lastColumn="0" w:oddVBand="0" w:evenVBand="0" w:oddHBand="0"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 xml:space="preserve">NEMS looks up the patients registered GP within their PDS record, then finds the parent CCG for that GP practice.  </w:t>
            </w:r>
          </w:p>
          <w:p>
            <w:pPr>
              <w:pStyle w:val="ListParagraph"/>
              <w:numPr>
                <w:ilvl w:val="0"/>
                <w:numId w:val="17"/>
              </w:numPr>
              <w:spacing w:lineRule="auto" w:before="120" w:after="120"/>
              <w:cnfStyle w:val="000000000000" w:firstRow="0" w:lastRow="0" w:firstColumn="0" w:lastColumn="0" w:oddVBand="0" w:evenVBand="0" w:oddHBand="0"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 xml:space="preserve">NEMS checks the generic subscriptions for any rules which contain a CCG Code that matches the parent CCG of the patients GP. </w:t>
            </w:r>
          </w:p>
          <w:p>
            <w:pPr>
              <w:pStyle w:val="ListParagraph"/>
              <w:numPr>
                <w:ilvl w:val="0"/>
                <w:numId w:val="17"/>
              </w:numPr>
              <w:spacing w:lineRule="auto" w:before="120" w:after="120"/>
              <w:cnfStyle w:val="000000000000" w:firstRow="0" w:lastRow="0" w:firstColumn="0" w:lastColumn="0" w:oddVBand="0" w:evenVBand="0" w:oddHBand="0"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A copy of the event message is sent to the mailboxes specified in those matching generic subscriptions.</w:t>
            </w:r>
          </w:p>
        </w:tc>
      </w:tr>
      <w:tr>
        <w:trPr>
          <w:cnfStyle w:val="000000100000" w:firstRow="0" w:lastRow="0" w:firstColumn="0" w:lastColumn="0" w:oddVBand="0" w:evenVBand="0" w:oddHBand="1" w:evenHBand="0" w:firstRowFirstColumn="0" w:firstRowLastColumn="0" w:lastRowFirstColumn="0" w:lastRowLastColumn="0"/>
        </w:trPr>
        <w:tc>
          <w:tcPr>
            <w:tcW w:w="26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before="120" w:after="120"/>
              <w:rPr>
                <w:rFonts w:cs="Times New Roman"/>
                <w:lang w:val="en"/>
              </w:rPr>
            </w:pPr>
            <w:r>
              <w:rPr>
                <w:rFonts w:eastAsia="ＭＳ Ｐゴシック" w:cs="Arial" w:cstheme="minorBidi" w:eastAsiaTheme="minorEastAsia"/>
                <w:b/>
                <w:bCs/>
                <w:szCs w:val="22"/>
                <w:lang w:val="en" w:eastAsia="en-GB"/>
              </w:rPr>
              <w:t>Patient’s Registered GP Code matches GP Code (GP)</w:t>
            </w:r>
          </w:p>
        </w:tc>
        <w:tc>
          <w:tcPr>
            <w:tcW w:w="7156" w:type="dxa"/>
            <w:tcBorders/>
          </w:tcPr>
          <w:p>
            <w:pPr>
              <w:pStyle w:val="ListParagraph"/>
              <w:numPr>
                <w:ilvl w:val="0"/>
                <w:numId w:val="17"/>
              </w:numPr>
              <w:spacing w:lineRule="auto" w:before="120" w:after="120"/>
              <w:cnfStyle w:val="000000100000" w:firstRow="0" w:lastRow="0" w:firstColumn="0" w:lastColumn="0" w:oddVBand="0" w:evenVBand="0" w:oddHBand="1"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 xml:space="preserve">NEMS matches the patients registered GP Code, from their PDS record, to generic subscription rules which contain the same GP Code.  </w:t>
            </w:r>
          </w:p>
          <w:p>
            <w:pPr>
              <w:pStyle w:val="ListParagraph"/>
              <w:numPr>
                <w:ilvl w:val="0"/>
                <w:numId w:val="17"/>
              </w:numPr>
              <w:spacing w:lineRule="auto" w:before="120" w:after="120"/>
              <w:cnfStyle w:val="000000100000" w:firstRow="0" w:lastRow="0" w:firstColumn="0" w:lastColumn="0" w:oddVBand="0" w:evenVBand="0" w:oddHBand="1"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A copy of the event message is sent to the mailboxes specified in those matching generic subscriptions.</w:t>
            </w:r>
          </w:p>
        </w:tc>
      </w:tr>
      <w:tr>
        <w:trPr/>
        <w:tc>
          <w:tcPr>
            <w:tcW w:w="2687"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tcPr>
          <w:p>
            <w:pPr>
              <w:pStyle w:val="Normal"/>
              <w:spacing w:lineRule="auto" w:before="120" w:after="120"/>
              <w:rPr>
                <w:rFonts w:cs="Times New Roman"/>
                <w:lang w:val="en"/>
              </w:rPr>
            </w:pPr>
            <w:r>
              <w:rPr>
                <w:rFonts w:eastAsia="ＭＳ Ｐゴシック" w:cs="Arial" w:cstheme="minorBidi" w:eastAsiaTheme="minorEastAsia"/>
                <w:b/>
                <w:bCs/>
                <w:szCs w:val="22"/>
                <w:lang w:val="en" w:eastAsia="en-GB"/>
              </w:rPr>
              <w:t>Patient’s’ Postcode within LA’s area of responsibility (HVS)</w:t>
            </w:r>
          </w:p>
        </w:tc>
        <w:tc>
          <w:tcPr>
            <w:tcW w:w="7156" w:type="dxa"/>
            <w:tcBorders>
              <w:top w:val="nil"/>
              <w:left w:val="nil"/>
              <w:bottom w:val="nil"/>
            </w:tcBorders>
          </w:tcPr>
          <w:p>
            <w:pPr>
              <w:pStyle w:val="ListParagraph"/>
              <w:numPr>
                <w:ilvl w:val="0"/>
                <w:numId w:val="17"/>
              </w:numPr>
              <w:spacing w:lineRule="auto" w:before="120" w:after="120"/>
              <w:cnfStyle w:val="000000000000" w:firstRow="0" w:lastRow="0" w:firstColumn="0" w:lastColumn="0" w:oddVBand="0" w:evenVBand="0" w:oddHBand="0"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 xml:space="preserve">NEMS matches the patient’s home postcode, from their PDS record, to a specific LA based the areas of responsible for the different LAs.  </w:t>
            </w:r>
          </w:p>
          <w:p>
            <w:pPr>
              <w:pStyle w:val="ListParagraph"/>
              <w:numPr>
                <w:ilvl w:val="0"/>
                <w:numId w:val="17"/>
              </w:numPr>
              <w:spacing w:lineRule="auto" w:before="120" w:after="120"/>
              <w:cnfStyle w:val="000000000000" w:firstRow="0" w:lastRow="0" w:firstColumn="0" w:lastColumn="0" w:oddVBand="0" w:evenVBand="0" w:oddHBand="0"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 xml:space="preserve">The NEMS then looks for generic subscription rules which contain an LA Code that matches the LA responsible for the area in which the patient’s postcode resides.  </w:t>
            </w:r>
          </w:p>
          <w:p>
            <w:pPr>
              <w:pStyle w:val="ListParagraph"/>
              <w:numPr>
                <w:ilvl w:val="0"/>
                <w:numId w:val="17"/>
              </w:numPr>
              <w:spacing w:lineRule="auto" w:before="120" w:after="120"/>
              <w:cnfStyle w:val="000000000000" w:firstRow="0" w:lastRow="0" w:firstColumn="0" w:lastColumn="0" w:oddVBand="0" w:evenVBand="0" w:oddHBand="0"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A copy of the event message is sent to the mailboxes specified in those matching generic subscriptions.</w:t>
            </w:r>
          </w:p>
        </w:tc>
      </w:tr>
      <w:tr>
        <w:trPr>
          <w:cnfStyle w:val="000000100000" w:firstRow="0" w:lastRow="0" w:firstColumn="0" w:lastColumn="0" w:oddVBand="0" w:evenVBand="0" w:oddHBand="1" w:evenHBand="0" w:firstRowFirstColumn="0" w:firstRowLastColumn="0" w:lastRowFirstColumn="0" w:lastRowLastColumn="0"/>
        </w:trPr>
        <w:tc>
          <w:tcPr>
            <w:tcW w:w="26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before="120" w:after="120"/>
              <w:rPr>
                <w:rFonts w:cs="Times New Roman"/>
                <w:lang w:val="en"/>
              </w:rPr>
            </w:pPr>
            <w:r>
              <w:rPr>
                <w:rFonts w:eastAsia="ＭＳ Ｐゴシック" w:cs="Arial" w:cstheme="minorBidi" w:eastAsiaTheme="minorEastAsia"/>
                <w:b/>
                <w:bCs/>
                <w:szCs w:val="22"/>
                <w:lang w:val="en" w:eastAsia="en-GB"/>
              </w:rPr>
              <w:t>All Patients in England (HSS)</w:t>
            </w:r>
          </w:p>
        </w:tc>
        <w:tc>
          <w:tcPr>
            <w:tcW w:w="7156" w:type="dxa"/>
            <w:tcBorders/>
          </w:tcPr>
          <w:p>
            <w:pPr>
              <w:pStyle w:val="ListParagraph"/>
              <w:numPr>
                <w:ilvl w:val="0"/>
                <w:numId w:val="17"/>
              </w:numPr>
              <w:spacing w:lineRule="auto" w:before="120" w:after="120"/>
              <w:cnfStyle w:val="000000100000" w:firstRow="0" w:lastRow="0" w:firstColumn="0" w:lastColumn="0" w:oddVBand="0" w:evenVBand="0" w:oddHBand="1"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 xml:space="preserve">NEMS matches all patients who live in England to generic subscription rules which specify the rule type of National.  </w:t>
            </w:r>
          </w:p>
          <w:p>
            <w:pPr>
              <w:pStyle w:val="ListParagraph"/>
              <w:numPr>
                <w:ilvl w:val="0"/>
                <w:numId w:val="17"/>
              </w:numPr>
              <w:spacing w:lineRule="auto" w:before="120" w:after="120"/>
              <w:cnfStyle w:val="000000100000" w:firstRow="0" w:lastRow="0" w:firstColumn="0" w:lastColumn="0" w:oddVBand="0" w:evenVBand="0" w:oddHBand="1" w:evenHBand="0" w:firstRowFirstColumn="0" w:firstRowLastColumn="0" w:lastRowFirstColumn="0" w:lastRowLastColumn="0"/>
              <w:rPr>
                <w:rFonts w:cs="Arial"/>
                <w:lang w:val="en"/>
              </w:rPr>
            </w:pPr>
            <w:r>
              <w:rPr>
                <w:rFonts w:eastAsia="ＭＳ Ｐゴシック" w:cs="Arial" w:cstheme="minorBidi" w:eastAsiaTheme="minorEastAsia"/>
                <w:szCs w:val="22"/>
                <w:lang w:val="en" w:eastAsia="en-GB"/>
              </w:rPr>
              <w:t>A copy of the event message is sent to the mailboxes specified in those matching generic subscriptions.</w:t>
            </w:r>
          </w:p>
        </w:tc>
      </w:tr>
    </w:tbl>
    <w:p>
      <w:pPr>
        <w:pStyle w:val="Normal"/>
        <w:spacing w:lineRule="auto" w:before="120" w:after="120"/>
        <w:rPr>
          <w:rFonts w:cs="Arial"/>
          <w:lang w:val="en"/>
        </w:rPr>
      </w:pPr>
      <w:r>
        <w:rPr>
          <w:rFonts w:cs="Arial"/>
          <w:lang w:val="en"/>
        </w:rPr>
      </w:r>
    </w:p>
    <w:p>
      <w:pPr>
        <w:pStyle w:val="Normal"/>
        <w:spacing w:before="120" w:after="120"/>
        <w:rPr/>
      </w:pPr>
      <w:r>
        <w:rPr/>
      </w:r>
    </w:p>
    <w:p>
      <w:pPr>
        <w:pStyle w:val="Normal"/>
        <w:spacing w:before="120" w:after="120"/>
        <w:rPr/>
      </w:pPr>
      <w:r>
        <w:rPr/>
      </w:r>
    </w:p>
    <w:p>
      <w:pPr>
        <w:pStyle w:val="Caption1"/>
        <w:spacing w:before="120" w:after="120"/>
        <w:rPr/>
      </w:pPr>
      <w:r>
        <w:rPr/>
      </w:r>
      <w:r>
        <w:br w:type="page"/>
      </w:r>
    </w:p>
    <w:p>
      <w:pPr>
        <w:pStyle w:val="Heading1"/>
        <w:numPr>
          <w:ilvl w:val="0"/>
          <w:numId w:val="4"/>
        </w:numPr>
        <w:rPr/>
      </w:pPr>
      <w:bookmarkStart w:id="54" w:name="_Toc48895934"/>
      <w:bookmarkStart w:id="55" w:name="_Toc35253963"/>
      <w:bookmarkStart w:id="56" w:name="_Toc35253957"/>
      <w:bookmarkStart w:id="57" w:name="_Toc35253956"/>
      <w:bookmarkStart w:id="58" w:name="_Toc35253955"/>
      <w:bookmarkEnd w:id="55"/>
      <w:bookmarkEnd w:id="56"/>
      <w:bookmarkEnd w:id="57"/>
      <w:bookmarkEnd w:id="58"/>
      <w:r>
        <w:rPr/>
        <w:t>Testing and Technical Conformance</w:t>
      </w:r>
      <w:bookmarkEnd w:id="54"/>
    </w:p>
    <w:p>
      <w:pPr>
        <w:pStyle w:val="Heading2"/>
        <w:numPr>
          <w:ilvl w:val="1"/>
          <w:numId w:val="4"/>
        </w:numPr>
        <w:rPr/>
      </w:pPr>
      <w:r>
        <w:rPr/>
        <w:t xml:space="preserve"> </w:t>
      </w:r>
      <w:bookmarkStart w:id="59" w:name="_Toc48895935"/>
      <w:r>
        <w:rPr/>
        <w:t>Technical Conformance Testing Guidance</w:t>
      </w:r>
      <w:bookmarkEnd w:id="59"/>
    </w:p>
    <w:p>
      <w:pPr>
        <w:pStyle w:val="PlainText"/>
        <w:spacing w:before="120" w:after="120"/>
        <w:rPr>
          <w:sz w:val="24"/>
          <w:szCs w:val="24"/>
        </w:rPr>
      </w:pPr>
      <w:r>
        <w:rPr>
          <w:sz w:val="24"/>
          <w:szCs w:val="24"/>
        </w:rPr>
        <w:t xml:space="preserve">When ready to commence assurance activities, please contact the NEMS team direct via </w:t>
      </w:r>
      <w:hyperlink r:id="rId36">
        <w:r>
          <w:rPr>
            <w:rStyle w:val="InternetLink"/>
            <w:sz w:val="24"/>
            <w:szCs w:val="24"/>
          </w:rPr>
          <w:t>nrlnems@nhs.net</w:t>
        </w:r>
      </w:hyperlink>
      <w:r>
        <w:rPr>
          <w:sz w:val="24"/>
          <w:szCs w:val="24"/>
        </w:rPr>
        <w:t xml:space="preserve"> where the team will:</w:t>
      </w:r>
    </w:p>
    <w:p>
      <w:pPr>
        <w:pStyle w:val="PlainText"/>
        <w:numPr>
          <w:ilvl w:val="0"/>
          <w:numId w:val="27"/>
        </w:numPr>
        <w:spacing w:before="120" w:after="120"/>
        <w:rPr>
          <w:sz w:val="24"/>
          <w:szCs w:val="24"/>
        </w:rPr>
      </w:pPr>
      <w:r>
        <w:rPr>
          <w:sz w:val="24"/>
          <w:szCs w:val="24"/>
        </w:rPr>
        <w:t>Assess suitability for NEMS (See section 2.3 for further information).</w:t>
      </w:r>
    </w:p>
    <w:p>
      <w:pPr>
        <w:pStyle w:val="PlainText"/>
        <w:numPr>
          <w:ilvl w:val="0"/>
          <w:numId w:val="27"/>
        </w:numPr>
        <w:spacing w:before="120" w:after="120"/>
        <w:rPr>
          <w:sz w:val="24"/>
          <w:szCs w:val="24"/>
        </w:rPr>
      </w:pPr>
      <w:r>
        <w:rPr>
          <w:sz w:val="24"/>
          <w:szCs w:val="24"/>
        </w:rPr>
        <w:t>Detail the required NEMS Assurance stages to complete</w:t>
      </w:r>
    </w:p>
    <w:p>
      <w:pPr>
        <w:pStyle w:val="PlainText"/>
        <w:numPr>
          <w:ilvl w:val="0"/>
          <w:numId w:val="27"/>
        </w:numPr>
        <w:spacing w:before="120" w:after="120"/>
        <w:rPr>
          <w:sz w:val="24"/>
          <w:szCs w:val="24"/>
        </w:rPr>
      </w:pPr>
      <w:r>
        <w:rPr>
          <w:sz w:val="24"/>
          <w:szCs w:val="24"/>
        </w:rPr>
        <w:t>Ensure pre-requisites are met.</w:t>
      </w:r>
    </w:p>
    <w:p>
      <w:pPr>
        <w:pStyle w:val="PlainText"/>
        <w:numPr>
          <w:ilvl w:val="0"/>
          <w:numId w:val="27"/>
        </w:numPr>
        <w:spacing w:before="120" w:after="120"/>
        <w:rPr>
          <w:sz w:val="24"/>
          <w:szCs w:val="24"/>
        </w:rPr>
      </w:pPr>
      <w:r>
        <w:rPr>
          <w:sz w:val="24"/>
          <w:szCs w:val="24"/>
        </w:rPr>
        <w:t>Verify plans for development.</w:t>
      </w:r>
    </w:p>
    <w:p>
      <w:pPr>
        <w:pStyle w:val="PlainText"/>
        <w:numPr>
          <w:ilvl w:val="0"/>
          <w:numId w:val="27"/>
        </w:numPr>
        <w:spacing w:before="120" w:after="120"/>
        <w:rPr>
          <w:sz w:val="24"/>
          <w:szCs w:val="24"/>
        </w:rPr>
      </w:pPr>
      <w:r>
        <w:rPr>
          <w:sz w:val="24"/>
          <w:szCs w:val="24"/>
        </w:rPr>
        <w:t>Advise on next steps to begin testing.</w:t>
      </w:r>
    </w:p>
    <w:p>
      <w:pPr>
        <w:pStyle w:val="PlainText"/>
        <w:numPr>
          <w:ilvl w:val="0"/>
          <w:numId w:val="27"/>
        </w:numPr>
        <w:spacing w:before="120" w:after="120"/>
        <w:rPr>
          <w:sz w:val="24"/>
          <w:szCs w:val="24"/>
        </w:rPr>
      </w:pPr>
      <w:r>
        <w:rPr>
          <w:sz w:val="24"/>
          <w:szCs w:val="24"/>
        </w:rPr>
        <w:t>Issue the latest version of the Supplier Conformance Assessment List (SCAL) that is tailored to reflect any previous conformance testing undertaken with NHS Digital.</w:t>
      </w:r>
    </w:p>
    <w:p>
      <w:pPr>
        <w:pStyle w:val="PlainText"/>
        <w:spacing w:before="120" w:after="120"/>
        <w:rPr>
          <w:sz w:val="24"/>
          <w:szCs w:val="24"/>
        </w:rPr>
      </w:pPr>
      <w:r>
        <w:rPr>
          <w:sz w:val="24"/>
          <w:szCs w:val="24"/>
        </w:rPr>
      </w:r>
    </w:p>
    <w:p>
      <w:pPr>
        <w:pStyle w:val="Heading2"/>
        <w:numPr>
          <w:ilvl w:val="1"/>
          <w:numId w:val="4"/>
        </w:numPr>
        <w:rPr/>
      </w:pPr>
      <w:bookmarkStart w:id="60" w:name="_Toc48895936"/>
      <w:r>
        <w:rPr/>
        <w:t>NEMS Assurance Stages</w:t>
      </w:r>
      <w:bookmarkEnd w:id="60"/>
      <w:r>
        <w:rPr/>
        <w:t xml:space="preserve">  </w:t>
      </w:r>
    </w:p>
    <w:p>
      <w:pPr>
        <w:pStyle w:val="Normal"/>
        <w:rPr/>
      </w:pPr>
      <w:r>
        <w:rPr/>
        <w:t>When an organisation begins onboarding to NEMS, they will be required to carry out assurance and testing activities through the following stages:</w:t>
      </w:r>
    </w:p>
    <w:p>
      <w:pPr>
        <w:pStyle w:val="Normal"/>
        <w:jc w:val="center"/>
        <w:rPr/>
      </w:pPr>
      <w:r>
        <w:rPr/>
        <w:drawing>
          <wp:inline distT="0" distB="0" distL="0" distR="0">
            <wp:extent cx="6263640" cy="2214880"/>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37"/>
                    <a:stretch>
                      <a:fillRect/>
                    </a:stretch>
                  </pic:blipFill>
                  <pic:spPr bwMode="auto">
                    <a:xfrm>
                      <a:off x="0" y="0"/>
                      <a:ext cx="6263640" cy="2214880"/>
                    </a:xfrm>
                    <a:prstGeom prst="rect">
                      <a:avLst/>
                    </a:prstGeom>
                  </pic:spPr>
                </pic:pic>
              </a:graphicData>
            </a:graphic>
          </wp:inline>
        </w:drawing>
      </w:r>
    </w:p>
    <w:p>
      <w:pPr>
        <w:pStyle w:val="Normal"/>
        <w:rPr>
          <w:b/>
          <w:b/>
          <w:bCs/>
        </w:rPr>
      </w:pPr>
      <w:r>
        <w:rPr>
          <w:b/>
          <w:bCs/>
        </w:rPr>
        <w:t>Pre-Requisites</w:t>
      </w:r>
    </w:p>
    <w:p>
      <w:pPr>
        <w:pStyle w:val="Normal"/>
        <w:rPr/>
      </w:pPr>
      <w:r>
        <w:rPr/>
        <w:t>The team will verify that the organisation wishing to onboard to NEMS meets the basic entry criteria to use the product, and will have received guidance from the IWG to ensure that NEMS is the appropriate route to provide the service (refer to section 2.3).</w:t>
      </w:r>
    </w:p>
    <w:p>
      <w:pPr>
        <w:pStyle w:val="Normal"/>
        <w:rPr/>
      </w:pPr>
      <w:r>
        <w:rPr/>
        <w:t>To use the service organisations MUST have most of these pre-requisites in place prior to starting development activities.</w:t>
      </w:r>
    </w:p>
    <w:p>
      <w:pPr>
        <w:pStyle w:val="Normal"/>
        <w:rPr/>
      </w:pPr>
      <w:r>
        <w:rPr/>
      </w:r>
    </w:p>
    <w:p>
      <w:pPr>
        <w:pStyle w:val="Normal"/>
        <w:rPr>
          <w:b/>
          <w:b/>
          <w:bCs/>
        </w:rPr>
      </w:pPr>
      <w:r>
        <w:rPr>
          <w:b/>
          <w:bCs/>
        </w:rPr>
        <w:t>Local (Toolkit Workbench - TKW) Testing</w:t>
      </w:r>
    </w:p>
    <w:p>
      <w:pPr>
        <w:pStyle w:val="Normal"/>
        <w:rPr/>
      </w:pPr>
      <w:r>
        <w:rPr/>
        <w:t>Following completion of pre-requisites activities, the team will grant authority to proceed Local (TKW) Testing activities.</w:t>
      </w:r>
    </w:p>
    <w:p>
      <w:pPr>
        <w:pStyle w:val="Normal"/>
        <w:rPr/>
      </w:pPr>
      <w:r>
        <w:rPr/>
        <w:t xml:space="preserve">This involves working with the NHS Digital Solutions Assurance team who will arrange setup of the </w:t>
      </w:r>
      <w:r>
        <w:rPr>
          <w:i/>
          <w:iCs/>
        </w:rPr>
        <w:t xml:space="preserve">Opentest </w:t>
      </w:r>
      <w:r>
        <w:rPr/>
        <w:t>environment and provide test scripts to carry out the TKW required activities.</w:t>
      </w:r>
    </w:p>
    <w:p>
      <w:pPr>
        <w:pStyle w:val="Normal"/>
        <w:rPr/>
      </w:pPr>
      <w:r>
        <w:rPr/>
        <w:t>During this stage you will also receive a copy of the SCAL where:</w:t>
      </w:r>
    </w:p>
    <w:p>
      <w:pPr>
        <w:pStyle w:val="ListParagraph"/>
        <w:numPr>
          <w:ilvl w:val="0"/>
          <w:numId w:val="28"/>
        </w:numPr>
        <w:rPr/>
      </w:pPr>
      <w:r>
        <w:rPr>
          <w:i/>
          <w:iCs/>
        </w:rPr>
        <w:t>If the organisation has previously completed a SCAL for an NHS Digital product</w:t>
      </w:r>
      <w:r>
        <w:rPr/>
        <w:t xml:space="preserve">: the organisation will need to </w:t>
      </w:r>
      <w:r>
        <w:rPr>
          <w:b/>
          <w:bCs/>
        </w:rPr>
        <w:t>update</w:t>
      </w:r>
      <w:r>
        <w:rPr/>
        <w:t xml:space="preserve"> the </w:t>
      </w:r>
      <w:r>
        <w:rPr>
          <w:i/>
          <w:iCs/>
        </w:rPr>
        <w:t xml:space="preserve">‘General’ </w:t>
      </w:r>
      <w:r>
        <w:rPr/>
        <w:t xml:space="preserve">and </w:t>
      </w:r>
      <w:r>
        <w:rPr>
          <w:i/>
          <w:iCs/>
        </w:rPr>
        <w:t xml:space="preserve">‘Architecture’ </w:t>
      </w:r>
      <w:r>
        <w:rPr/>
        <w:t xml:space="preserve">tabs and </w:t>
      </w:r>
      <w:r>
        <w:rPr>
          <w:b/>
          <w:bCs/>
        </w:rPr>
        <w:t>complete</w:t>
      </w:r>
      <w:r>
        <w:rPr/>
        <w:t xml:space="preserve"> the required NEMS tabs.</w:t>
      </w:r>
    </w:p>
    <w:p>
      <w:pPr>
        <w:pStyle w:val="ListParagraph"/>
        <w:numPr>
          <w:ilvl w:val="0"/>
          <w:numId w:val="28"/>
        </w:numPr>
        <w:rPr/>
      </w:pPr>
      <w:r>
        <w:rPr>
          <w:i/>
          <w:iCs/>
        </w:rPr>
        <w:t>If the organisation has NOT completed a SCAL for an NHS Digital product</w:t>
      </w:r>
      <w:r>
        <w:rPr/>
        <w:t xml:space="preserve">: the organisation will need to </w:t>
      </w:r>
      <w:r>
        <w:rPr>
          <w:b/>
          <w:bCs/>
        </w:rPr>
        <w:t>complete</w:t>
      </w:r>
      <w:r>
        <w:rPr/>
        <w:t xml:space="preserve"> the </w:t>
      </w:r>
      <w:r>
        <w:rPr>
          <w:i/>
          <w:iCs/>
        </w:rPr>
        <w:t xml:space="preserve">‘General’ </w:t>
      </w:r>
      <w:r>
        <w:rPr/>
        <w:t xml:space="preserve">and </w:t>
      </w:r>
      <w:r>
        <w:rPr>
          <w:i/>
          <w:iCs/>
        </w:rPr>
        <w:t xml:space="preserve">‘Architecture’ </w:t>
      </w:r>
      <w:r>
        <w:rPr/>
        <w:t xml:space="preserve">tabs, </w:t>
      </w:r>
      <w:r>
        <w:rPr>
          <w:b/>
          <w:bCs/>
        </w:rPr>
        <w:t>and</w:t>
      </w:r>
      <w:r>
        <w:rPr/>
        <w:t xml:space="preserve"> the required NEMS tabs.</w:t>
      </w:r>
    </w:p>
    <w:p>
      <w:pPr>
        <w:pStyle w:val="Normal"/>
        <w:ind w:left="360" w:hanging="0"/>
        <w:rPr/>
      </w:pPr>
      <w:r>
        <w:rPr>
          <w:b/>
          <w:bCs/>
        </w:rPr>
        <w:t xml:space="preserve">Note: </w:t>
      </w:r>
      <w:r>
        <w:rPr/>
        <w:t>The SCAL is a working document and will be updated throughout the stages to reflect testing activities and evidence.</w:t>
      </w:r>
    </w:p>
    <w:p>
      <w:pPr>
        <w:pStyle w:val="Normal"/>
        <w:ind w:left="360" w:hanging="0"/>
        <w:rPr/>
      </w:pPr>
      <w:r>
        <w:rPr/>
        <w:t>To proceed the organisation will need to demonstrate they can validate messages against the TKW as per the NHS Digital Solutions Assurance team requirements.</w:t>
      </w:r>
    </w:p>
    <w:p>
      <w:pPr>
        <w:pStyle w:val="Normal"/>
        <w:ind w:left="360" w:hanging="0"/>
        <w:rPr/>
      </w:pPr>
      <w:r>
        <w:rPr/>
        <w:t>(Further details on the SCAL in section 5.1)</w:t>
      </w:r>
    </w:p>
    <w:p>
      <w:pPr>
        <w:pStyle w:val="Normal"/>
        <w:rPr/>
      </w:pPr>
      <w:r>
        <w:rPr/>
      </w:r>
    </w:p>
    <w:p>
      <w:pPr>
        <w:pStyle w:val="Normal"/>
        <w:rPr>
          <w:b/>
          <w:b/>
          <w:bCs/>
        </w:rPr>
      </w:pPr>
      <w:r>
        <w:rPr>
          <w:b/>
          <w:bCs/>
        </w:rPr>
        <w:t>INT testing</w:t>
      </w:r>
    </w:p>
    <w:p>
      <w:pPr>
        <w:pStyle w:val="Normal"/>
        <w:spacing w:before="120" w:after="120"/>
        <w:rPr/>
      </w:pPr>
      <w:r>
        <w:rPr/>
        <w:t xml:space="preserve">The NHS Digital INT Environment is a </w:t>
      </w:r>
      <w:r>
        <w:rPr>
          <w:i/>
          <w:iCs/>
        </w:rPr>
        <w:t xml:space="preserve">sandbox </w:t>
      </w:r>
      <w:r>
        <w:rPr/>
        <w:t>environment for testing the functionality to NEMS and a pre-test to ensure that the organisations development is safe to use on the Live Spine environment.</w:t>
      </w:r>
    </w:p>
    <w:p>
      <w:pPr>
        <w:pStyle w:val="Normal"/>
        <w:spacing w:before="120" w:after="120"/>
        <w:rPr/>
      </w:pPr>
      <w:r>
        <w:rPr/>
        <w:t>Access to the INT environment will be setup prior to completing TKW activities to avoid delays.  Details on requesting setup to INT can be found in section 4.3.</w:t>
      </w:r>
    </w:p>
    <w:p>
      <w:pPr>
        <w:pStyle w:val="Normal"/>
        <w:spacing w:before="120" w:after="120"/>
        <w:rPr/>
      </w:pPr>
      <w:r>
        <w:rPr/>
        <w:t>The organisation will continue working with the NHS Digital Solutions Assurance team executing the test system cases provided.</w:t>
      </w:r>
    </w:p>
    <w:p>
      <w:pPr>
        <w:pStyle w:val="Normal"/>
        <w:spacing w:before="120" w:after="120"/>
        <w:rPr/>
      </w:pPr>
      <w:r>
        <w:rPr/>
        <w:t>Once the Solutions Assurance team are satisfied the test requirements are met a Technical Conformance Certificate (TCC) will be issued to confirm suitability for go-live.</w:t>
      </w:r>
    </w:p>
    <w:p>
      <w:pPr>
        <w:pStyle w:val="Normal"/>
        <w:rPr/>
      </w:pPr>
      <w:r>
        <w:rPr/>
        <w:t>Further updates are made to the SCAL in reflection of these activities.</w:t>
      </w:r>
    </w:p>
    <w:p>
      <w:pPr>
        <w:pStyle w:val="Normal"/>
        <w:rPr/>
      </w:pPr>
      <w:r>
        <w:rPr/>
      </w:r>
    </w:p>
    <w:p>
      <w:pPr>
        <w:pStyle w:val="Normal"/>
        <w:rPr>
          <w:b/>
          <w:b/>
          <w:bCs/>
        </w:rPr>
      </w:pPr>
      <w:r>
        <w:rPr>
          <w:b/>
          <w:bCs/>
        </w:rPr>
        <w:t>Pre-Live</w:t>
      </w:r>
    </w:p>
    <w:p>
      <w:pPr>
        <w:pStyle w:val="Normal"/>
        <w:rPr/>
      </w:pPr>
      <w:r>
        <w:rPr/>
        <w:t>Before an organisation is granted access to a live environment they would be expected to sign:</w:t>
      </w:r>
    </w:p>
    <w:p>
      <w:pPr>
        <w:pStyle w:val="ListParagraph"/>
        <w:numPr>
          <w:ilvl w:val="0"/>
          <w:numId w:val="29"/>
        </w:numPr>
        <w:rPr/>
      </w:pPr>
      <w:r>
        <w:rPr/>
        <w:t>A Connection Agreement (For Publishers)</w:t>
      </w:r>
    </w:p>
    <w:p>
      <w:pPr>
        <w:pStyle w:val="ListParagraph"/>
        <w:numPr>
          <w:ilvl w:val="0"/>
          <w:numId w:val="29"/>
        </w:numPr>
        <w:rPr/>
      </w:pPr>
      <w:r>
        <w:rPr/>
        <w:t xml:space="preserve">End User Organisation Acceptable Use Policy (EUO-AUP) or Data Sharing Assessment (DSA) (for </w:t>
      </w:r>
      <w:r>
        <w:rPr>
          <w:i/>
          <w:iCs/>
        </w:rPr>
        <w:t>subscribers</w:t>
      </w:r>
      <w:r>
        <w:rPr/>
        <w:t>)</w:t>
      </w:r>
    </w:p>
    <w:p>
      <w:pPr>
        <w:pStyle w:val="Normal"/>
        <w:rPr/>
      </w:pPr>
      <w:r>
        <w:rPr>
          <w:b/>
          <w:bCs/>
        </w:rPr>
        <w:t xml:space="preserve">Note: </w:t>
      </w:r>
      <w:r>
        <w:rPr/>
        <w:t>to avoid delays to go-live these agreements maybe provided earlier.</w:t>
      </w:r>
    </w:p>
    <w:p>
      <w:pPr>
        <w:pStyle w:val="Normal"/>
        <w:rPr/>
      </w:pPr>
      <w:r>
        <w:rPr/>
        <w:t>The organisation will also run through a Go-No Go Checklist with the NEMS team to ensure all requirements have been met.</w:t>
      </w:r>
    </w:p>
    <w:p>
      <w:pPr>
        <w:pStyle w:val="Normal"/>
        <w:rPr>
          <w:b/>
          <w:b/>
          <w:bCs/>
        </w:rPr>
      </w:pPr>
      <w:r>
        <w:rPr>
          <w:b/>
          <w:bCs/>
        </w:rPr>
      </w:r>
    </w:p>
    <w:p>
      <w:pPr>
        <w:pStyle w:val="Normal"/>
        <w:rPr>
          <w:b/>
          <w:b/>
          <w:bCs/>
        </w:rPr>
      </w:pPr>
      <w:r>
        <w:rPr>
          <w:b/>
          <w:bCs/>
        </w:rPr>
        <w:t>Live</w:t>
      </w:r>
    </w:p>
    <w:p>
      <w:pPr>
        <w:pStyle w:val="Normal"/>
        <w:rPr/>
      </w:pPr>
      <w:r>
        <w:rPr/>
        <w:t>With all assurance requirements complete, the organisation moves NEMS into business as usual activities.</w:t>
      </w:r>
    </w:p>
    <w:p>
      <w:pPr>
        <w:pStyle w:val="Normal"/>
        <w:rPr/>
      </w:pPr>
      <w:r>
        <w:rPr/>
        <w:t>For further support while live please see section 7.</w:t>
      </w:r>
    </w:p>
    <w:p>
      <w:pPr>
        <w:pStyle w:val="Normal"/>
        <w:rPr>
          <w:b/>
          <w:b/>
          <w:bCs/>
        </w:rPr>
      </w:pPr>
      <w:r>
        <w:rPr>
          <w:b/>
          <w:bCs/>
        </w:rPr>
      </w:r>
    </w:p>
    <w:p>
      <w:pPr>
        <w:pStyle w:val="Normal"/>
        <w:spacing w:before="120" w:after="120"/>
        <w:rPr/>
      </w:pPr>
      <w:r>
        <w:rPr/>
      </w:r>
    </w:p>
    <w:p>
      <w:pPr>
        <w:pStyle w:val="Heading2"/>
        <w:numPr>
          <w:ilvl w:val="1"/>
          <w:numId w:val="4"/>
        </w:numPr>
        <w:rPr>
          <w:rStyle w:val="InternetLink"/>
          <w:rFonts w:ascii="Arial" w:hAnsi="Arial"/>
          <w:color w:val="005EB8" w:themeColor="accent1"/>
        </w:rPr>
      </w:pPr>
      <w:r>
        <w:rPr/>
        <w:t xml:space="preserve"> </w:t>
      </w:r>
      <w:bookmarkStart w:id="61" w:name="_Toc48895937"/>
      <w:r>
        <w:rPr/>
        <w:t>Connecting to the NHS Digital Integration (INT) Environment</w:t>
      </w:r>
      <w:bookmarkEnd w:id="61"/>
    </w:p>
    <w:p>
      <w:pPr>
        <w:pStyle w:val="Heading3"/>
        <w:numPr>
          <w:ilvl w:val="2"/>
          <w:numId w:val="4"/>
        </w:numPr>
        <w:rPr/>
      </w:pPr>
      <w:bookmarkStart w:id="62" w:name="_Toc48895938"/>
      <w:r>
        <w:rPr>
          <w:rStyle w:val="InternetLink"/>
          <w:color w:val="005EB8" w:themeColor="accent1"/>
        </w:rPr>
        <w:t>Instructions for End Point Registration (EPR) in the INT environment</w:t>
      </w:r>
      <w:bookmarkEnd w:id="62"/>
    </w:p>
    <w:p>
      <w:pPr>
        <w:pStyle w:val="Normal"/>
        <w:spacing w:before="120" w:after="120"/>
        <w:rPr/>
      </w:pPr>
      <w:r>
        <w:rPr/>
        <w:t>The following section provides the basic steps for connecting to the INT environment for the specific purpose of undertaking conformance testing with NEMS.</w:t>
      </w:r>
    </w:p>
    <w:p>
      <w:pPr>
        <w:pStyle w:val="Normal"/>
        <w:spacing w:before="120" w:after="120"/>
        <w:rPr/>
      </w:pPr>
      <w:r>
        <w:rPr/>
        <w:t xml:space="preserve">Further levels of detail, including generic guidance for how to connect to the NHS Digital INT environment can be found on the </w:t>
      </w:r>
      <w:hyperlink r:id="rId38">
        <w:r>
          <w:rPr>
            <w:rStyle w:val="InternetLink"/>
          </w:rPr>
          <w:t>NHSD Path to Live</w:t>
        </w:r>
      </w:hyperlink>
      <w:r>
        <w:rPr/>
        <w:t xml:space="preserve"> intranet pages.</w:t>
      </w:r>
    </w:p>
    <w:p>
      <w:pPr>
        <w:pStyle w:val="Normal"/>
        <w:spacing w:before="120" w:after="120"/>
        <w:rPr/>
      </w:pPr>
      <w:r>
        <w:rPr/>
        <w:t>The following should be noted when reading the above linked guidance, specifically for the purposes of Conformance Testing with NEMs:</w:t>
      </w:r>
    </w:p>
    <w:p>
      <w:pPr>
        <w:pStyle w:val="ListParagraph"/>
        <w:numPr>
          <w:ilvl w:val="0"/>
          <w:numId w:val="10"/>
        </w:numPr>
        <w:spacing w:before="120" w:after="120"/>
        <w:rPr/>
      </w:pPr>
      <w:r>
        <w:rPr/>
        <w:t>Requesting access to test data is not required for conformance testing with NEMs.</w:t>
      </w:r>
    </w:p>
    <w:p>
      <w:pPr>
        <w:pStyle w:val="ListParagraph"/>
        <w:numPr>
          <w:ilvl w:val="0"/>
          <w:numId w:val="10"/>
        </w:numPr>
        <w:spacing w:before="120" w:after="120"/>
        <w:rPr>
          <w:color w:val="auto"/>
        </w:rPr>
      </w:pPr>
      <w:r>
        <w:rPr>
          <w:color w:val="auto"/>
        </w:rPr>
        <w:t>Whilst Smartcards are a requirement to consume NEMs as a subscriber in the Live environment, they are not necessarily required to complete conformance testing with the NEMs in the INT environment. Similarly, Identity Agent client software is not necessarily required to complete conformance testing with the NEMs in the INT environment.</w:t>
      </w:r>
    </w:p>
    <w:p>
      <w:pPr>
        <w:pStyle w:val="Normal"/>
        <w:spacing w:before="120" w:after="120"/>
        <w:rPr>
          <w:color w:val="auto"/>
        </w:rPr>
      </w:pPr>
      <w:r>
        <w:rPr>
          <w:color w:val="auto"/>
        </w:rPr>
        <w:t xml:space="preserve">Any questions or request for support should be addressed to the NHS Digital Platforms Support Desk: </w:t>
      </w:r>
      <w:hyperlink r:id="rId39">
        <w:r>
          <w:rPr>
            <w:rStyle w:val="InternetLink"/>
          </w:rPr>
          <w:t>platforms.supportdesk@nhs.net</w:t>
        </w:r>
      </w:hyperlink>
    </w:p>
    <w:p>
      <w:pPr>
        <w:pStyle w:val="ListParagraph"/>
        <w:numPr>
          <w:ilvl w:val="0"/>
          <w:numId w:val="8"/>
        </w:numPr>
        <w:spacing w:before="120" w:after="120"/>
        <w:rPr>
          <w:b/>
          <w:b/>
          <w:bCs/>
        </w:rPr>
      </w:pPr>
      <w:r>
        <w:rPr>
          <w:b/>
          <w:bCs/>
        </w:rPr>
        <w:t>Register Messaging Product</w:t>
      </w:r>
    </w:p>
    <w:p>
      <w:pPr>
        <w:pStyle w:val="ListParagraph"/>
        <w:spacing w:before="120" w:after="120"/>
        <w:ind w:left="720" w:hanging="0"/>
        <w:rPr/>
      </w:pPr>
      <w:hyperlink r:id="rId40">
        <w:r>
          <w:rPr>
            <w:rStyle w:val="InternetLink"/>
          </w:rPr>
          <w:t>https://digital.nhs.uk/forms/manufacturer-product-version-registration-request</w:t>
        </w:r>
      </w:hyperlink>
    </w:p>
    <w:p>
      <w:pPr>
        <w:pStyle w:val="ListParagraph"/>
        <w:spacing w:before="120" w:after="120"/>
        <w:ind w:left="720" w:hanging="0"/>
        <w:rPr/>
      </w:pPr>
      <w:r>
        <w:rPr/>
        <w:t xml:space="preserve">Use the above link to provide the product name and version, organisation name and ODS code, which will be registered in the INT environment. </w:t>
      </w:r>
    </w:p>
    <w:p>
      <w:pPr>
        <w:pStyle w:val="ListParagraph"/>
        <w:numPr>
          <w:ilvl w:val="0"/>
          <w:numId w:val="8"/>
        </w:numPr>
        <w:spacing w:before="120" w:after="120"/>
        <w:rPr>
          <w:b/>
          <w:b/>
          <w:bCs/>
        </w:rPr>
      </w:pPr>
      <w:r>
        <w:rPr>
          <w:b/>
          <w:bCs/>
        </w:rPr>
        <w:t>Create endpoint and certificate:</w:t>
      </w:r>
    </w:p>
    <w:p>
      <w:pPr>
        <w:pStyle w:val="Normal"/>
        <w:spacing w:before="120" w:after="120"/>
        <w:ind w:left="720" w:hanging="0"/>
        <w:rPr/>
      </w:pPr>
      <w:hyperlink r:id="rId41">
        <w:r>
          <w:rPr>
            <w:rStyle w:val="InternetLink"/>
          </w:rPr>
          <w:t>https://digital.nhs.uk/forms/combined-endpoint-and-service-registration-request</w:t>
        </w:r>
      </w:hyperlink>
    </w:p>
    <w:p>
      <w:pPr>
        <w:pStyle w:val="ListParagraph"/>
        <w:spacing w:before="120" w:after="120"/>
        <w:ind w:left="720" w:hanging="0"/>
        <w:rPr/>
      </w:pPr>
      <w:r>
        <w:rPr/>
        <w:t>In order to complete the End Point Registration to the Integration (INT) Sandpit Environment, a Certificate Signing Request (CSR) must be provided and contain the following:</w:t>
      </w:r>
    </w:p>
    <w:p>
      <w:pPr>
        <w:pStyle w:val="ListParagraph"/>
        <w:numPr>
          <w:ilvl w:val="0"/>
          <w:numId w:val="9"/>
        </w:numPr>
        <w:spacing w:before="120" w:after="120"/>
        <w:rPr/>
      </w:pPr>
      <w:r>
        <w:rPr/>
        <w:t>Keylength: 2048</w:t>
      </w:r>
    </w:p>
    <w:p>
      <w:pPr>
        <w:pStyle w:val="ListParagraph"/>
        <w:numPr>
          <w:ilvl w:val="0"/>
          <w:numId w:val="9"/>
        </w:numPr>
        <w:spacing w:before="120" w:after="120"/>
        <w:rPr/>
      </w:pPr>
      <w:r>
        <w:rPr/>
        <w:t xml:space="preserve">CN (Common Name): </w:t>
      </w:r>
      <w:r>
        <w:rPr>
          <w:b/>
          <w:bCs/>
          <w:i/>
          <w:iCs/>
        </w:rPr>
        <w:t>the FQDN</w:t>
      </w:r>
    </w:p>
    <w:p>
      <w:pPr>
        <w:pStyle w:val="ListParagraph"/>
        <w:numPr>
          <w:ilvl w:val="0"/>
          <w:numId w:val="9"/>
        </w:numPr>
        <w:spacing w:before="120" w:after="120"/>
        <w:rPr/>
      </w:pPr>
      <w:r>
        <w:rPr/>
        <w:t>Country Code:GB</w:t>
      </w:r>
    </w:p>
    <w:p>
      <w:pPr>
        <w:pStyle w:val="Normal"/>
        <w:spacing w:before="120" w:after="120"/>
        <w:ind w:firstLine="720"/>
        <w:rPr>
          <w:rFonts w:eastAsia="Arial" w:eastAsiaTheme="minorHAnsi"/>
        </w:rPr>
      </w:pPr>
      <w:r>
        <w:rPr/>
        <w:t>All other details should be left blank.</w:t>
      </w:r>
    </w:p>
    <w:p>
      <w:pPr>
        <w:pStyle w:val="Normal"/>
        <w:spacing w:before="120" w:after="120"/>
        <w:ind w:left="720" w:hanging="0"/>
        <w:rPr/>
      </w:pPr>
      <w:r>
        <w:rPr/>
        <w:t>NHS Digital has experienced problems in the past when creating a CSR using SSL Win-32 so it is recommended that SSL Win-64 is used. All certificates that are to be used to connect to the spine must have a distinguished name that contains a CN, or Common Name.</w:t>
      </w:r>
    </w:p>
    <w:p>
      <w:pPr>
        <w:pStyle w:val="ListParagraph"/>
        <w:numPr>
          <w:ilvl w:val="0"/>
          <w:numId w:val="8"/>
        </w:numPr>
        <w:spacing w:before="120" w:after="120"/>
        <w:rPr>
          <w:b/>
          <w:b/>
          <w:bCs/>
        </w:rPr>
      </w:pPr>
      <w:r>
        <w:rPr>
          <w:b/>
          <w:bCs/>
        </w:rPr>
        <w:t>Register the Fully Qualified Domain Name (FQDN) with the NHS DNS team:</w:t>
      </w:r>
    </w:p>
    <w:p>
      <w:pPr>
        <w:pStyle w:val="ListParagraph"/>
        <w:spacing w:before="120" w:after="120"/>
        <w:ind w:left="720" w:hanging="0"/>
        <w:rPr/>
      </w:pPr>
      <w:hyperlink r:id="rId42">
        <w:r>
          <w:rPr>
            <w:rStyle w:val="InternetLink"/>
          </w:rPr>
          <w:t>https://digital.nhs.uk/forms/dns-request-form-for-path-to-live-environments</w:t>
        </w:r>
      </w:hyperlink>
    </w:p>
    <w:p>
      <w:pPr>
        <w:pStyle w:val="ListParagraph"/>
        <w:spacing w:before="120" w:after="120"/>
        <w:ind w:left="720" w:hanging="0"/>
        <w:rPr/>
      </w:pPr>
      <w:r>
        <w:rPr/>
        <w:t>Provide the HSCN-facing IP address, (with an appropriately formatted test FQDN), so that it can be registered on the NHS Digital DNS.</w:t>
        <w:br/>
        <w:t>Note that the following requirements for endpoints must be met:</w:t>
      </w:r>
    </w:p>
    <w:p>
      <w:pPr>
        <w:pStyle w:val="ListParagraph"/>
        <w:numPr>
          <w:ilvl w:val="1"/>
          <w:numId w:val="8"/>
        </w:numPr>
        <w:spacing w:before="120" w:after="120"/>
        <w:rPr/>
      </w:pPr>
      <w:r>
        <w:rPr/>
        <w:t>The FQDN must end in nhs.uk</w:t>
      </w:r>
    </w:p>
    <w:p>
      <w:pPr>
        <w:pStyle w:val="ListParagraph"/>
        <w:numPr>
          <w:ilvl w:val="1"/>
          <w:numId w:val="8"/>
        </w:numPr>
        <w:spacing w:before="120" w:after="120"/>
        <w:rPr/>
      </w:pPr>
      <w:r>
        <w:rPr/>
        <w:t>Endpoints must be on port 443</w:t>
      </w:r>
    </w:p>
    <w:p>
      <w:pPr>
        <w:pStyle w:val="ListParagraph"/>
        <w:numPr>
          <w:ilvl w:val="1"/>
          <w:numId w:val="8"/>
        </w:numPr>
        <w:spacing w:before="120" w:after="120"/>
        <w:rPr/>
      </w:pPr>
      <w:r>
        <w:rPr/>
        <w:t xml:space="preserve">Endpoints must not include explicit port declarations (e.g. :443) </w:t>
      </w:r>
    </w:p>
    <w:p>
      <w:pPr>
        <w:pStyle w:val="ListParagraph"/>
        <w:numPr>
          <w:ilvl w:val="0"/>
          <w:numId w:val="8"/>
        </w:numPr>
        <w:spacing w:before="120" w:after="120"/>
        <w:rPr>
          <w:b/>
          <w:b/>
          <w:bCs/>
        </w:rPr>
      </w:pPr>
      <w:r>
        <w:rPr>
          <w:b/>
          <w:bCs/>
        </w:rPr>
        <w:t>Configure Firewalls:</w:t>
      </w:r>
    </w:p>
    <w:p>
      <w:pPr>
        <w:pStyle w:val="ListParagraph"/>
        <w:spacing w:before="120" w:after="120"/>
        <w:ind w:left="720" w:hanging="0"/>
        <w:rPr/>
      </w:pPr>
      <w:r>
        <w:rPr/>
        <w:t>Make sure firewalls allow appropriate inbound and outbound messages. The next section (INT Environment Connection Details for NEMS) will be of assistance.</w:t>
      </w:r>
    </w:p>
    <w:p>
      <w:pPr>
        <w:pStyle w:val="ListParagraph"/>
        <w:numPr>
          <w:ilvl w:val="0"/>
          <w:numId w:val="8"/>
        </w:numPr>
        <w:spacing w:before="120" w:after="120"/>
        <w:rPr>
          <w:b/>
          <w:b/>
          <w:bCs/>
        </w:rPr>
      </w:pPr>
      <w:r>
        <w:rPr>
          <w:b/>
          <w:bCs/>
        </w:rPr>
        <w:t>Complete Local Environment Setup:</w:t>
      </w:r>
    </w:p>
    <w:p>
      <w:pPr>
        <w:pStyle w:val="ListParagraph"/>
        <w:spacing w:before="120" w:after="120"/>
        <w:ind w:left="720" w:hanging="0"/>
        <w:rPr/>
      </w:pPr>
      <w:r>
        <w:rPr/>
        <w:t>Once NHSD has the CSR and the Service Registration has been completed the Party Key will be sent, ASID and digital certificate to enable connection to the INT environment for the final tests.</w:t>
      </w:r>
    </w:p>
    <w:p>
      <w:pPr>
        <w:pStyle w:val="Normal"/>
        <w:spacing w:before="120" w:after="120"/>
        <w:rPr>
          <w:rFonts w:eastAsia="Arial" w:eastAsiaTheme="minorHAnsi"/>
        </w:rPr>
      </w:pPr>
      <w:r>
        <w:rPr>
          <w:rFonts w:eastAsia="Arial" w:eastAsiaTheme="minorHAnsi"/>
        </w:rPr>
      </w:r>
    </w:p>
    <w:p>
      <w:pPr>
        <w:pStyle w:val="Heading3"/>
        <w:numPr>
          <w:ilvl w:val="2"/>
          <w:numId w:val="4"/>
        </w:numPr>
        <w:rPr>
          <w:rStyle w:val="InternetLink"/>
          <w:rFonts w:ascii="Arial" w:hAnsi="Arial"/>
          <w:color w:val="005EB8" w:themeColor="accent1"/>
        </w:rPr>
      </w:pPr>
      <w:bookmarkStart w:id="63" w:name="_Toc48895939"/>
      <w:bookmarkStart w:id="64" w:name="_MON_1621750139"/>
      <w:bookmarkEnd w:id="64"/>
      <w:r>
        <w:rPr>
          <w:rStyle w:val="InternetLink"/>
          <w:color w:val="005EB8" w:themeColor="accent1"/>
        </w:rPr>
        <w:t>INT Environment Connection Details for NEMS</w:t>
      </w:r>
      <w:bookmarkEnd w:id="63"/>
    </w:p>
    <w:p>
      <w:pPr>
        <w:pStyle w:val="ListParagraph"/>
        <w:numPr>
          <w:ilvl w:val="0"/>
          <w:numId w:val="26"/>
        </w:numPr>
        <w:rPr>
          <w:rFonts w:cs="Arial"/>
          <w:color w:val="auto"/>
          <w:sz w:val="22"/>
          <w:szCs w:val="22"/>
        </w:rPr>
      </w:pPr>
      <w:r>
        <w:rPr>
          <w:rFonts w:cs="Arial"/>
          <w:color w:val="auto"/>
        </w:rPr>
        <w:t xml:space="preserve">NEMS URL: </w:t>
      </w:r>
      <w:hyperlink r:id="rId43">
        <w:r>
          <w:rPr>
            <w:rStyle w:val="InternetLink"/>
            <w:rFonts w:eastAsia="MS Mincho" w:cs="Arial"/>
            <w:color w:val="auto"/>
          </w:rPr>
          <w:t>TBC</w:t>
        </w:r>
      </w:hyperlink>
    </w:p>
    <w:p>
      <w:pPr>
        <w:pStyle w:val="ListParagraph"/>
        <w:numPr>
          <w:ilvl w:val="0"/>
          <w:numId w:val="26"/>
        </w:numPr>
        <w:rPr>
          <w:rFonts w:cs="Arial"/>
          <w:color w:val="auto"/>
        </w:rPr>
      </w:pPr>
      <w:r>
        <w:rPr>
          <w:rFonts w:cs="Arial"/>
          <w:color w:val="auto"/>
        </w:rPr>
        <w:t xml:space="preserve">IP Address: </w:t>
      </w:r>
      <w:r>
        <w:rPr>
          <w:rFonts w:cs="Arial"/>
          <w:color w:val="auto"/>
          <w:shd w:fill="F0F4F5" w:val="clear"/>
        </w:rPr>
        <w:t>10.239.14.26</w:t>
      </w:r>
    </w:p>
    <w:p>
      <w:pPr>
        <w:pStyle w:val="ListParagraph"/>
        <w:numPr>
          <w:ilvl w:val="0"/>
          <w:numId w:val="26"/>
        </w:numPr>
        <w:rPr>
          <w:rFonts w:cs="Arial"/>
          <w:color w:val="auto"/>
        </w:rPr>
      </w:pPr>
      <w:r>
        <w:rPr>
          <w:rFonts w:cs="Arial"/>
          <w:color w:val="auto"/>
        </w:rPr>
        <w:t>Port: 443 TCP</w:t>
      </w:r>
    </w:p>
    <w:p>
      <w:pPr>
        <w:pStyle w:val="ListParagraph"/>
        <w:numPr>
          <w:ilvl w:val="0"/>
          <w:numId w:val="26"/>
        </w:numPr>
        <w:rPr>
          <w:rFonts w:cs="Arial"/>
          <w:color w:val="auto"/>
        </w:rPr>
      </w:pPr>
      <w:r>
        <w:rPr>
          <w:rFonts w:cs="Arial"/>
          <w:color w:val="auto"/>
        </w:rPr>
        <w:t xml:space="preserve">Spine Party Key: </w:t>
      </w:r>
      <w:r>
        <w:rPr>
          <w:rFonts w:cs="Arial"/>
          <w:color w:val="auto"/>
          <w:shd w:fill="F0F4F5" w:val="clear"/>
        </w:rPr>
        <w:t>YES-0000806</w:t>
      </w:r>
    </w:p>
    <w:p>
      <w:pPr>
        <w:pStyle w:val="ListParagraph"/>
        <w:numPr>
          <w:ilvl w:val="0"/>
          <w:numId w:val="26"/>
        </w:numPr>
        <w:rPr>
          <w:rFonts w:cs="Arial"/>
          <w:color w:val="auto"/>
        </w:rPr>
      </w:pPr>
      <w:r>
        <w:rPr>
          <w:rFonts w:cs="Arial"/>
          <w:color w:val="auto"/>
        </w:rPr>
        <w:t>NRL ASID: TBC</w:t>
      </w:r>
    </w:p>
    <w:p>
      <w:pPr>
        <w:pStyle w:val="ListParagraph"/>
        <w:numPr>
          <w:ilvl w:val="0"/>
          <w:numId w:val="26"/>
        </w:numPr>
        <w:rPr>
          <w:rFonts w:cs="Arial"/>
          <w:color w:val="auto"/>
        </w:rPr>
      </w:pPr>
      <w:r>
        <w:rPr>
          <w:rFonts w:cs="Arial"/>
          <w:color w:val="auto"/>
        </w:rPr>
        <w:t xml:space="preserve">SSP Proxy URL: </w:t>
      </w:r>
      <w:r>
        <w:rPr>
          <w:rFonts w:cs="Arial"/>
          <w:color w:val="auto"/>
          <w:shd w:fill="F0F4F5" w:val="clear"/>
        </w:rPr>
        <w:t>proxy.int.spine2.ncrs.nhs.uk</w:t>
      </w:r>
    </w:p>
    <w:p>
      <w:pPr>
        <w:pStyle w:val="ListParagraph"/>
        <w:numPr>
          <w:ilvl w:val="0"/>
          <w:numId w:val="26"/>
        </w:numPr>
        <w:rPr>
          <w:rFonts w:cs="Arial"/>
          <w:color w:val="auto"/>
        </w:rPr>
      </w:pPr>
      <w:r>
        <w:rPr>
          <w:rFonts w:cs="Arial"/>
          <w:color w:val="auto"/>
        </w:rPr>
        <w:t xml:space="preserve">IP Addresses:  </w:t>
      </w:r>
      <w:r>
        <w:rPr>
          <w:rFonts w:cs="Arial"/>
          <w:color w:val="auto"/>
          <w:shd w:fill="F0F4F5" w:val="clear"/>
        </w:rPr>
        <w:t>10.239.14.31</w:t>
      </w:r>
    </w:p>
    <w:p>
      <w:pPr>
        <w:pStyle w:val="ListParagraph"/>
        <w:numPr>
          <w:ilvl w:val="0"/>
          <w:numId w:val="26"/>
        </w:numPr>
        <w:rPr>
          <w:rFonts w:cs="Arial"/>
          <w:color w:val="auto"/>
        </w:rPr>
      </w:pPr>
      <w:r>
        <w:rPr>
          <w:rFonts w:cs="Arial"/>
          <w:color w:val="auto"/>
        </w:rPr>
        <w:t>Port: 443 TCP</w:t>
      </w:r>
    </w:p>
    <w:p>
      <w:pPr>
        <w:pStyle w:val="ListParagraph"/>
        <w:numPr>
          <w:ilvl w:val="0"/>
          <w:numId w:val="26"/>
        </w:numPr>
        <w:rPr>
          <w:rFonts w:cs="Arial"/>
          <w:color w:val="auto"/>
        </w:rPr>
      </w:pPr>
      <w:r>
        <w:rPr>
          <w:rFonts w:cs="Arial"/>
          <w:color w:val="auto"/>
        </w:rPr>
        <w:t xml:space="preserve">LDAP URL**: </w:t>
      </w:r>
      <w:r>
        <w:rPr>
          <w:rFonts w:cs="Arial"/>
          <w:color w:val="auto"/>
          <w:shd w:fill="F0F4F5" w:val="clear"/>
        </w:rPr>
        <w:t>ldap.nis1.national.ncrs.nhs.uk</w:t>
      </w:r>
    </w:p>
    <w:p>
      <w:pPr>
        <w:pStyle w:val="ListParagraph"/>
        <w:numPr>
          <w:ilvl w:val="0"/>
          <w:numId w:val="26"/>
        </w:numPr>
        <w:rPr>
          <w:rFonts w:cs="Arial"/>
          <w:color w:val="auto"/>
        </w:rPr>
      </w:pPr>
      <w:r>
        <w:rPr>
          <w:rFonts w:cs="Arial"/>
          <w:color w:val="auto"/>
        </w:rPr>
        <w:t xml:space="preserve"> </w:t>
      </w:r>
      <w:r>
        <w:rPr>
          <w:rFonts w:cs="Arial"/>
          <w:color w:val="auto"/>
        </w:rPr>
        <w:t xml:space="preserve">IP Address: </w:t>
      </w:r>
      <w:r>
        <w:rPr>
          <w:rFonts w:cs="Arial"/>
          <w:color w:val="auto"/>
          <w:shd w:fill="F0F4F5" w:val="clear"/>
        </w:rPr>
        <w:t>10.196.94.141</w:t>
      </w:r>
    </w:p>
    <w:p>
      <w:pPr>
        <w:pStyle w:val="ListParagraph"/>
        <w:numPr>
          <w:ilvl w:val="0"/>
          <w:numId w:val="26"/>
        </w:numPr>
        <w:rPr>
          <w:rFonts w:cs="Arial"/>
          <w:color w:val="1F497D"/>
        </w:rPr>
      </w:pPr>
      <w:r>
        <w:rPr>
          <w:rFonts w:cs="Arial"/>
          <w:color w:val="auto"/>
        </w:rPr>
        <w:t>Port: 636 TCP</w:t>
      </w:r>
      <w:r>
        <w:br w:type="page"/>
      </w:r>
    </w:p>
    <w:p>
      <w:pPr>
        <w:pStyle w:val="Heading1"/>
        <w:numPr>
          <w:ilvl w:val="0"/>
          <w:numId w:val="4"/>
        </w:numPr>
        <w:rPr/>
      </w:pPr>
      <w:bookmarkStart w:id="65" w:name="_Toc35253974"/>
      <w:bookmarkStart w:id="66" w:name="_Toc35253973"/>
      <w:bookmarkEnd w:id="65"/>
      <w:bookmarkEnd w:id="66"/>
      <w:r>
        <w:rPr/>
        <w:t xml:space="preserve"> </w:t>
      </w:r>
      <w:bookmarkStart w:id="67" w:name="_Toc48895940"/>
      <w:r>
        <w:rPr/>
        <w:t>Onboarding Artefacts</w:t>
      </w:r>
      <w:bookmarkEnd w:id="67"/>
    </w:p>
    <w:p>
      <w:pPr>
        <w:pStyle w:val="Normal"/>
        <w:spacing w:before="120" w:after="120"/>
        <w:rPr/>
      </w:pPr>
      <w:r>
        <w:rPr/>
        <w:t>There are several key artefacts that support Technical Conformance and the integration with NHS Digital Services:</w:t>
      </w:r>
    </w:p>
    <w:p>
      <w:pPr>
        <w:pStyle w:val="ListParagraph"/>
        <w:numPr>
          <w:ilvl w:val="0"/>
          <w:numId w:val="19"/>
        </w:numPr>
        <w:spacing w:before="120" w:after="120"/>
        <w:rPr/>
      </w:pPr>
      <w:r>
        <w:rPr/>
        <w:t>Supplier Conformance Assessment List (SCAL)</w:t>
      </w:r>
    </w:p>
    <w:p>
      <w:pPr>
        <w:pStyle w:val="ListParagraph"/>
        <w:numPr>
          <w:ilvl w:val="0"/>
          <w:numId w:val="19"/>
        </w:numPr>
        <w:spacing w:before="120" w:after="120"/>
        <w:rPr/>
      </w:pPr>
      <w:r>
        <w:rPr/>
        <w:t>Connection Agreement (CA)</w:t>
      </w:r>
    </w:p>
    <w:p>
      <w:pPr>
        <w:pStyle w:val="ListParagraph"/>
        <w:numPr>
          <w:ilvl w:val="0"/>
          <w:numId w:val="19"/>
        </w:numPr>
        <w:spacing w:before="120" w:after="120"/>
        <w:rPr/>
      </w:pPr>
      <w:r>
        <w:rPr/>
        <w:t>End User Organisation Declaration (EUOD)</w:t>
      </w:r>
    </w:p>
    <w:p>
      <w:pPr>
        <w:pStyle w:val="ListParagraph"/>
        <w:numPr>
          <w:ilvl w:val="0"/>
          <w:numId w:val="19"/>
        </w:numPr>
        <w:spacing w:before="120" w:after="120"/>
        <w:rPr/>
      </w:pPr>
      <w:r>
        <w:rPr/>
        <w:t>Technical Conformance Certificate (TCC)</w:t>
      </w:r>
    </w:p>
    <w:p>
      <w:pPr>
        <w:pStyle w:val="ListParagraph"/>
        <w:numPr>
          <w:ilvl w:val="0"/>
          <w:numId w:val="19"/>
        </w:numPr>
        <w:spacing w:before="120" w:after="120"/>
        <w:rPr/>
      </w:pPr>
      <w:r>
        <w:rPr/>
        <w:t>Data Sharing Arrangement (DSA)</w:t>
      </w:r>
    </w:p>
    <w:p>
      <w:pPr>
        <w:pStyle w:val="Normal"/>
        <w:spacing w:before="120" w:after="120"/>
        <w:rPr/>
      </w:pPr>
      <w:r>
        <w:rPr/>
      </w:r>
    </w:p>
    <w:p>
      <w:pPr>
        <w:pStyle w:val="Heading2"/>
        <w:numPr>
          <w:ilvl w:val="1"/>
          <w:numId w:val="4"/>
        </w:numPr>
        <w:rPr/>
      </w:pPr>
      <w:bookmarkStart w:id="68" w:name="_Toc48895941"/>
      <w:r>
        <w:rPr/>
        <w:t>Supplier Conformance Assessment List and Technical Conformance Certificate</w:t>
      </w:r>
      <w:bookmarkEnd w:id="68"/>
    </w:p>
    <w:p>
      <w:pPr>
        <w:pStyle w:val="Normal"/>
        <w:rPr/>
      </w:pPr>
      <w:r>
        <w:rPr/>
        <w:t xml:space="preserve">The purpose of the Supplier Conformance Assessment List (SCAL) is for a product supplier (or End User Organisation (EUO) if developing an 'in-house' product) to declare and record that it meets or complies with a range of organisational, technical (product) and compliance requirements including those for Information Governance and Security, Clinical Safety and individual user interaction. </w:t>
      </w:r>
    </w:p>
    <w:p>
      <w:pPr>
        <w:pStyle w:val="Normal"/>
        <w:rPr/>
      </w:pPr>
      <w:r>
        <w:rPr/>
        <w:t>The information provided in the SCAL helps EUOs to assure themselves that the Product has been developed according to various quality and compliance requirements and standards.  Any queries about the information provided in the SCAL is the developing party’s responsibility to address.</w:t>
      </w:r>
    </w:p>
    <w:p>
      <w:pPr>
        <w:pStyle w:val="Normal"/>
        <w:rPr/>
      </w:pPr>
      <w:r>
        <w:rPr/>
        <w:t xml:space="preserve">The SCAL underpins the technical conformance process and is referenced in the Connection Agreement (CA) that every Supplier must sign before their Product can connect to NHS Digital Service(s). </w:t>
      </w:r>
    </w:p>
    <w:p>
      <w:pPr>
        <w:pStyle w:val="Normal"/>
        <w:keepNext w:val="true"/>
        <w:jc w:val="center"/>
        <w:rPr/>
      </w:pPr>
      <w:r>
        <w:rPr/>
        <w:drawing>
          <wp:inline distT="0" distB="0" distL="0" distR="0">
            <wp:extent cx="5997575" cy="2792095"/>
            <wp:effectExtent l="0" t="0" r="0" b="0"/>
            <wp:docPr id="1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4" descr=""/>
                    <pic:cNvPicPr>
                      <a:picLocks noChangeAspect="1" noChangeArrowheads="1"/>
                    </pic:cNvPicPr>
                  </pic:nvPicPr>
                  <pic:blipFill>
                    <a:blip r:embed="rId44"/>
                    <a:stretch>
                      <a:fillRect/>
                    </a:stretch>
                  </pic:blipFill>
                  <pic:spPr bwMode="auto">
                    <a:xfrm>
                      <a:off x="0" y="0"/>
                      <a:ext cx="5997575" cy="2792095"/>
                    </a:xfrm>
                    <a:prstGeom prst="rect">
                      <a:avLst/>
                    </a:prstGeom>
                  </pic:spPr>
                </pic:pic>
              </a:graphicData>
            </a:graphic>
          </wp:inline>
        </w:drawing>
      </w:r>
    </w:p>
    <w:p>
      <w:pPr>
        <w:pStyle w:val="Caption1"/>
        <w:jc w:val="center"/>
        <w:rPr>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6</w:t>
      </w:r>
      <w:r>
        <w:rPr>
          <w:i w:val="false"/>
          <w:iCs w:val="false"/>
        </w:rPr>
        <w:fldChar w:fldCharType="end"/>
      </w:r>
      <w:r>
        <w:rPr>
          <w:i w:val="false"/>
          <w:iCs w:val="false"/>
        </w:rPr>
        <w:t xml:space="preserve"> - Supplier Connection Assessment List</w:t>
      </w:r>
    </w:p>
    <w:p>
      <w:pPr>
        <w:pStyle w:val="Normal"/>
        <w:jc w:val="center"/>
        <w:rPr/>
      </w:pPr>
      <w:r>
        <w:rPr/>
      </w:r>
    </w:p>
    <w:p>
      <w:pPr>
        <w:pStyle w:val="Normal"/>
        <w:rPr/>
      </w:pPr>
      <w:r>
        <w:rPr/>
        <w:t>A SCAL is per (supplier) product, however, product that integrates more than one NHS Digital Service can be covered by a single SCAL.</w:t>
      </w:r>
    </w:p>
    <w:p>
      <w:pPr>
        <w:pStyle w:val="ListParagraph"/>
        <w:numPr>
          <w:ilvl w:val="0"/>
          <w:numId w:val="6"/>
        </w:numPr>
        <w:spacing w:before="120" w:after="120"/>
        <w:rPr/>
      </w:pPr>
      <w:r>
        <w:rPr/>
        <w:t xml:space="preserve">Maps all the requirements needed to interface with a specific service and the evidence required during technical conformance process and is supplier / product focussed. </w:t>
      </w:r>
    </w:p>
    <w:p>
      <w:pPr>
        <w:pStyle w:val="ListParagraph"/>
        <w:numPr>
          <w:ilvl w:val="0"/>
          <w:numId w:val="6"/>
        </w:numPr>
        <w:spacing w:before="120" w:after="120"/>
        <w:rPr/>
      </w:pPr>
      <w:r>
        <w:rPr/>
        <w:t xml:space="preserve">Within the SCAL, the connecting party logs where a product meets the technical, information governance and clinical safety requirements in a technical and business context. </w:t>
      </w:r>
    </w:p>
    <w:p>
      <w:pPr>
        <w:pStyle w:val="ListParagraph"/>
        <w:numPr>
          <w:ilvl w:val="0"/>
          <w:numId w:val="6"/>
        </w:numPr>
        <w:spacing w:before="120" w:after="120"/>
        <w:rPr/>
      </w:pPr>
      <w:r>
        <w:rPr/>
        <w:t>Many sections of the SCAL can be completed in parallel to the testing so it is recommended that all connecting parties familiarise themselves with the SCAL as early in the process as possible.</w:t>
      </w:r>
    </w:p>
    <w:p>
      <w:pPr>
        <w:pStyle w:val="ListParagraph"/>
        <w:numPr>
          <w:ilvl w:val="0"/>
          <w:numId w:val="6"/>
        </w:numPr>
        <w:spacing w:before="120" w:after="120"/>
        <w:rPr/>
      </w:pPr>
      <w:r>
        <w:rPr/>
        <w:t>On successful completion of the SCAL process a Technical Conformance Certificate (TCC) is issued</w:t>
      </w:r>
    </w:p>
    <w:p>
      <w:pPr>
        <w:pStyle w:val="Normal"/>
        <w:spacing w:before="120" w:after="120"/>
        <w:rPr>
          <w:sz w:val="20"/>
          <w:szCs w:val="20"/>
        </w:rPr>
      </w:pPr>
      <w:r>
        <w:rPr>
          <w:sz w:val="20"/>
          <w:szCs w:val="20"/>
        </w:rPr>
      </w:r>
    </w:p>
    <w:p>
      <w:pPr>
        <w:pStyle w:val="Heading2"/>
        <w:numPr>
          <w:ilvl w:val="1"/>
          <w:numId w:val="4"/>
        </w:numPr>
        <w:rPr/>
      </w:pPr>
      <w:bookmarkStart w:id="69" w:name="_Toc48895942"/>
      <w:r>
        <w:rPr/>
        <w:t>Connection Agreement</w:t>
      </w:r>
      <w:bookmarkEnd w:id="69"/>
      <w:r>
        <w:rPr/>
        <w:t xml:space="preserve"> </w:t>
      </w:r>
    </w:p>
    <w:p>
      <w:pPr>
        <w:pStyle w:val="ListParagraph"/>
        <w:numPr>
          <w:ilvl w:val="0"/>
          <w:numId w:val="6"/>
        </w:numPr>
        <w:spacing w:before="120" w:after="120"/>
        <w:rPr/>
      </w:pPr>
      <w:r>
        <w:rPr/>
        <w:t>Agreement formed between the Supplier (connecting party) and NHS Digital. comprises of a set of terms and conditions, links to the SCAL, and any Special Terms for a service and exists as an agreement for the duration of connection to the service.</w:t>
      </w:r>
    </w:p>
    <w:p>
      <w:pPr>
        <w:pStyle w:val="ListParagraph"/>
        <w:numPr>
          <w:ilvl w:val="0"/>
          <w:numId w:val="6"/>
        </w:numPr>
        <w:spacing w:before="120" w:after="120"/>
        <w:rPr/>
      </w:pPr>
      <w:r>
        <w:rPr/>
        <w:t>References End User Organisations and Individual End User obligations.</w:t>
      </w:r>
    </w:p>
    <w:p>
      <w:pPr>
        <w:pStyle w:val="ListParagraph"/>
        <w:numPr>
          <w:ilvl w:val="0"/>
          <w:numId w:val="6"/>
        </w:numPr>
        <w:spacing w:before="120" w:after="120"/>
        <w:rPr/>
      </w:pPr>
      <w:r>
        <w:rPr/>
        <w:t>Only needs to be completed by organisation directly connecting to NHS Digital systems.</w:t>
      </w:r>
    </w:p>
    <w:p>
      <w:pPr>
        <w:pStyle w:val="ListParagraph"/>
        <w:spacing w:before="120" w:after="120"/>
        <w:ind w:left="720" w:hanging="0"/>
        <w:rPr/>
      </w:pPr>
      <w:r>
        <w:rPr/>
      </w:r>
    </w:p>
    <w:p>
      <w:pPr>
        <w:pStyle w:val="Heading2"/>
        <w:numPr>
          <w:ilvl w:val="1"/>
          <w:numId w:val="4"/>
        </w:numPr>
        <w:rPr/>
      </w:pPr>
      <w:bookmarkStart w:id="70" w:name="_Toc48895943"/>
      <w:r>
        <w:rPr/>
        <w:t>End User Organisation Acceptable Use Policy</w:t>
      </w:r>
      <w:bookmarkEnd w:id="70"/>
    </w:p>
    <w:p>
      <w:pPr>
        <w:pStyle w:val="ListParagraph"/>
        <w:numPr>
          <w:ilvl w:val="0"/>
          <w:numId w:val="6"/>
        </w:numPr>
        <w:spacing w:before="120" w:after="120"/>
        <w:rPr/>
      </w:pPr>
      <w:r>
        <w:rPr/>
        <w:t>The End User Organisation Acceptable Use Policy (EUO-AUP) is an agreement formed between an End User Organisation and NHS Digital. It comprises:</w:t>
      </w:r>
    </w:p>
    <w:p>
      <w:pPr>
        <w:pStyle w:val="ListParagraph"/>
        <w:numPr>
          <w:ilvl w:val="1"/>
          <w:numId w:val="6"/>
        </w:numPr>
        <w:spacing w:before="120" w:after="120"/>
        <w:rPr/>
      </w:pPr>
      <w:r>
        <w:rPr/>
        <w:t>A set of terms and conditions</w:t>
      </w:r>
    </w:p>
    <w:p>
      <w:pPr>
        <w:pStyle w:val="ListParagraph"/>
        <w:numPr>
          <w:ilvl w:val="1"/>
          <w:numId w:val="6"/>
        </w:numPr>
        <w:spacing w:before="120" w:after="120"/>
        <w:rPr/>
      </w:pPr>
      <w:r>
        <w:rPr/>
        <w:t>Any Special Terms for a particular service</w:t>
      </w:r>
    </w:p>
    <w:p>
      <w:pPr>
        <w:pStyle w:val="ListParagraph"/>
        <w:numPr>
          <w:ilvl w:val="1"/>
          <w:numId w:val="6"/>
        </w:numPr>
        <w:spacing w:before="120" w:after="120"/>
        <w:rPr/>
      </w:pPr>
      <w:r>
        <w:rPr/>
        <w:t xml:space="preserve">It exists as an agreement for the duration of connection to the service. </w:t>
      </w:r>
    </w:p>
    <w:p>
      <w:pPr>
        <w:pStyle w:val="ListParagraph"/>
        <w:numPr>
          <w:ilvl w:val="0"/>
          <w:numId w:val="6"/>
        </w:numPr>
        <w:spacing w:before="120" w:after="120"/>
        <w:rPr/>
      </w:pPr>
      <w:r>
        <w:rPr/>
        <w:t xml:space="preserve">Outlines key End User Organisational local responsibilities including Clinical Safety, IG and Security and local assurance and risk assessment. </w:t>
      </w:r>
    </w:p>
    <w:p>
      <w:pPr>
        <w:pStyle w:val="ListParagraph"/>
        <w:numPr>
          <w:ilvl w:val="0"/>
          <w:numId w:val="6"/>
        </w:numPr>
        <w:spacing w:before="120" w:after="120"/>
        <w:rPr/>
      </w:pPr>
      <w:r>
        <w:rPr/>
        <w:t>References End User Organisations and Individual End User obligations</w:t>
      </w:r>
    </w:p>
    <w:p>
      <w:pPr>
        <w:pStyle w:val="ListParagraph"/>
        <w:numPr>
          <w:ilvl w:val="0"/>
          <w:numId w:val="6"/>
        </w:numPr>
        <w:spacing w:before="120" w:after="120"/>
        <w:rPr/>
      </w:pPr>
      <w:r>
        <w:rPr/>
        <w:t xml:space="preserve">The EUOD must be signed by the End User Organisation (EUO) i.e. the organisation (Trust / Shared Care Record / LHCR) that will deploy the supplier product or implement the in-house solution, for use in patient direct care. </w:t>
      </w:r>
    </w:p>
    <w:p>
      <w:pPr>
        <w:pStyle w:val="Normal"/>
        <w:spacing w:before="120" w:after="120"/>
        <w:rPr/>
      </w:pPr>
      <w:r>
        <w:rPr/>
      </w:r>
      <w:bookmarkStart w:id="71" w:name="_Local_TKW_Assurance"/>
      <w:bookmarkStart w:id="72" w:name="_Local_TKW_Assurance"/>
      <w:bookmarkEnd w:id="72"/>
    </w:p>
    <w:p>
      <w:pPr>
        <w:pStyle w:val="Heading2"/>
        <w:numPr>
          <w:ilvl w:val="1"/>
          <w:numId w:val="4"/>
        </w:numPr>
        <w:rPr/>
      </w:pPr>
      <w:bookmarkStart w:id="73" w:name="_Toc48895944"/>
      <w:r>
        <w:rPr/>
        <w:t>Data Sharing Arrangement</w:t>
      </w:r>
      <w:bookmarkEnd w:id="73"/>
    </w:p>
    <w:p>
      <w:pPr>
        <w:pStyle w:val="Normal"/>
        <w:spacing w:before="0" w:after="0"/>
        <w:rPr>
          <w:rFonts w:cs="Arial"/>
          <w:bCs/>
          <w:color w:val="005EB8" w:themeColor="accent1"/>
          <w:spacing w:val="-14"/>
          <w:kern w:val="2"/>
          <w:sz w:val="42"/>
          <w:szCs w:val="32"/>
          <w14:ligatures w14:val="standardContextual"/>
        </w:rPr>
      </w:pPr>
      <w:bookmarkStart w:id="74" w:name="_Ref4162493"/>
      <w:bookmarkStart w:id="75" w:name="_Live_Service_Implementation"/>
      <w:bookmarkStart w:id="76" w:name="_Assurance_Testing_(Mandatory)"/>
      <w:bookmarkEnd w:id="75"/>
      <w:bookmarkEnd w:id="76"/>
      <w:r>
        <w:rPr/>
        <w:t xml:space="preserve">Controllers are also expected to sign a Data Sharing Agreement (DSA) that sets out their data protection responsibilities as controller for the event message, either as subscriber or publisher.  </w:t>
      </w:r>
      <w:r>
        <w:br w:type="page"/>
      </w:r>
    </w:p>
    <w:p>
      <w:pPr>
        <w:pStyle w:val="Heading1"/>
        <w:numPr>
          <w:ilvl w:val="0"/>
          <w:numId w:val="4"/>
        </w:numPr>
        <w:rPr/>
      </w:pPr>
      <w:bookmarkStart w:id="77" w:name="_Ref4162493"/>
      <w:bookmarkStart w:id="78" w:name="_Toc48895945"/>
      <w:r>
        <w:rPr/>
        <w:t>Live Service Implementation</w:t>
      </w:r>
      <w:bookmarkEnd w:id="77"/>
      <w:bookmarkEnd w:id="78"/>
    </w:p>
    <w:p>
      <w:pPr>
        <w:pStyle w:val="Heading2"/>
        <w:numPr>
          <w:ilvl w:val="1"/>
          <w:numId w:val="4"/>
        </w:numPr>
        <w:rPr/>
      </w:pPr>
      <w:r>
        <w:rPr/>
        <w:t xml:space="preserve"> </w:t>
      </w:r>
      <w:bookmarkStart w:id="79" w:name="_Toc48895946"/>
      <w:r>
        <w:rPr/>
        <w:t>Live Connection Request</w:t>
      </w:r>
      <w:bookmarkEnd w:id="79"/>
    </w:p>
    <w:p>
      <w:pPr>
        <w:pStyle w:val="Normal"/>
        <w:spacing w:before="120" w:after="120"/>
        <w:rPr/>
      </w:pPr>
      <w:r>
        <w:rPr/>
        <w:t>Once the following activities have been completed, live connection details can be requested from the onboarding lead (</w:t>
      </w:r>
      <w:hyperlink r:id="rId45">
        <w:r>
          <w:rPr>
            <w:rStyle w:val="InternetLink"/>
          </w:rPr>
          <w:t>nrlnems@nhs.net</w:t>
        </w:r>
      </w:hyperlink>
      <w:r>
        <w:rPr/>
        <w:t xml:space="preserve">). </w:t>
      </w:r>
    </w:p>
    <w:p>
      <w:pPr>
        <w:pStyle w:val="ListParagraph"/>
        <w:numPr>
          <w:ilvl w:val="0"/>
          <w:numId w:val="5"/>
        </w:numPr>
        <w:spacing w:before="120" w:after="120"/>
        <w:rPr/>
      </w:pPr>
      <w:r>
        <w:rPr/>
        <w:t>Technical Conformance Testing Completed by Supplier</w:t>
      </w:r>
    </w:p>
    <w:p>
      <w:pPr>
        <w:pStyle w:val="ListParagraph"/>
        <w:numPr>
          <w:ilvl w:val="0"/>
          <w:numId w:val="5"/>
        </w:numPr>
        <w:spacing w:before="120" w:after="120"/>
        <w:rPr/>
      </w:pPr>
      <w:r>
        <w:rPr/>
        <w:t>SCAL completed by supplier and accepted by NHS Digital</w:t>
      </w:r>
    </w:p>
    <w:p>
      <w:pPr>
        <w:pStyle w:val="ListParagraph"/>
        <w:numPr>
          <w:ilvl w:val="0"/>
          <w:numId w:val="5"/>
        </w:numPr>
        <w:spacing w:before="120" w:after="120"/>
        <w:rPr/>
      </w:pPr>
      <w:r>
        <w:rPr/>
        <w:t>Connection Agreement signed and returned by Supplier</w:t>
      </w:r>
    </w:p>
    <w:p>
      <w:pPr>
        <w:pStyle w:val="ListParagraph"/>
        <w:numPr>
          <w:ilvl w:val="0"/>
          <w:numId w:val="5"/>
        </w:numPr>
        <w:spacing w:before="120" w:after="120"/>
        <w:rPr/>
      </w:pPr>
      <w:r>
        <w:rPr/>
        <w:t>Online End User Organisation Declaration completed by End User Organisation</w:t>
      </w:r>
    </w:p>
    <w:p>
      <w:pPr>
        <w:pStyle w:val="Normal"/>
        <w:spacing w:before="120" w:after="120"/>
        <w:rPr/>
      </w:pPr>
      <w:r>
        <w:rPr/>
      </w:r>
    </w:p>
    <w:p>
      <w:pPr>
        <w:pStyle w:val="Heading2"/>
        <w:numPr>
          <w:ilvl w:val="1"/>
          <w:numId w:val="4"/>
        </w:numPr>
        <w:rPr/>
      </w:pPr>
      <w:bookmarkStart w:id="80" w:name="_Toc48895947"/>
      <w:r>
        <w:rPr/>
        <w:t>Supplier Access to NEMS Process</w:t>
      </w:r>
      <w:bookmarkEnd w:id="80"/>
    </w:p>
    <w:p>
      <w:pPr>
        <w:pStyle w:val="Normal"/>
        <w:spacing w:before="120" w:after="120"/>
        <w:jc w:val="center"/>
        <w:rPr>
          <w:rFonts w:cs="Arial"/>
          <w:b/>
          <w:b/>
          <w:bCs/>
          <w:color w:val="005EB8" w:themeColor="accent1"/>
          <w:spacing w:val="-14"/>
          <w:kern w:val="2"/>
          <w:sz w:val="42"/>
          <w:szCs w:val="32"/>
          <w14:ligatures w14:val="standardContextual"/>
        </w:rPr>
      </w:pPr>
      <w:r>
        <w:rPr/>
        <w:drawing>
          <wp:inline distT="0" distB="0" distL="0" distR="0">
            <wp:extent cx="5148580" cy="6475730"/>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46"/>
                    <a:stretch>
                      <a:fillRect/>
                    </a:stretch>
                  </pic:blipFill>
                  <pic:spPr bwMode="auto">
                    <a:xfrm>
                      <a:off x="0" y="0"/>
                      <a:ext cx="5148580" cy="6475730"/>
                    </a:xfrm>
                    <a:prstGeom prst="rect">
                      <a:avLst/>
                    </a:prstGeom>
                  </pic:spPr>
                </pic:pic>
              </a:graphicData>
            </a:graphic>
          </wp:inline>
        </w:drawing>
      </w:r>
      <w:r>
        <w:br w:type="page"/>
      </w:r>
    </w:p>
    <w:p>
      <w:pPr>
        <w:pStyle w:val="Heading1"/>
        <w:numPr>
          <w:ilvl w:val="0"/>
          <w:numId w:val="4"/>
        </w:numPr>
        <w:rPr/>
      </w:pPr>
      <w:bookmarkStart w:id="81" w:name="_Toc48895948"/>
      <w:r>
        <w:rPr/>
        <w:t>Post Implementation Support</w:t>
      </w:r>
      <w:bookmarkEnd w:id="81"/>
    </w:p>
    <w:p>
      <w:pPr>
        <w:pStyle w:val="Normal"/>
        <w:spacing w:before="120" w:after="120"/>
        <w:rPr/>
      </w:pPr>
      <w:r>
        <w:rPr/>
        <w:t>As the National Event Management Service does not look at the content of an event where there are issues with:</w:t>
      </w:r>
    </w:p>
    <w:tbl>
      <w:tblPr>
        <w:tblStyle w:val="LightList-Accent11"/>
        <w:tblW w:w="4800" w:type="pct"/>
        <w:jc w:val="center"/>
        <w:tblInd w:w="0" w:type="dxa"/>
        <w:tblCellMar>
          <w:top w:w="0" w:type="dxa"/>
          <w:left w:w="108" w:type="dxa"/>
          <w:bottom w:w="0" w:type="dxa"/>
          <w:right w:w="108" w:type="dxa"/>
        </w:tblCellMar>
        <w:tblLook w:firstRow="1" w:noVBand="0" w:lastRow="1" w:firstColumn="1" w:lastColumn="1" w:noHBand="0" w:val="01e0"/>
      </w:tblPr>
      <w:tblGrid>
        <w:gridCol w:w="2092"/>
        <w:gridCol w:w="2566"/>
        <w:gridCol w:w="4811"/>
      </w:tblGrid>
      <w:tr>
        <w:trPr>
          <w:trHeight w:val="509" w:hRule="atLeast"/>
          <w:cnfStyle w:val="100000000000" w:firstRow="1" w:lastRow="0" w:firstColumn="0" w:lastColumn="0" w:oddVBand="0" w:evenVBand="0" w:oddHBand="0"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005EB8" w:themeFill="accent1" w:val="clear"/>
          </w:tcPr>
          <w:p>
            <w:pPr>
              <w:pStyle w:val="StyleArial12ptCentered"/>
              <w:spacing w:before="120" w:after="120"/>
              <w:ind w:left="360" w:hanging="0"/>
              <w:rPr>
                <w:b w:val="false"/>
                <w:b w:val="false"/>
                <w:color w:val="FFFFFF" w:themeColor="background1"/>
                <w:szCs w:val="22"/>
              </w:rPr>
            </w:pPr>
            <w:r>
              <w:rPr>
                <w:rFonts w:eastAsia="ＭＳ Ｐゴシック" w:cs="Arial"/>
                <w:b/>
                <w:bCs/>
                <w:color w:val="FFFFFF" w:themeColor="background1"/>
                <w:szCs w:val="22"/>
                <w:lang w:eastAsia="en-GB"/>
              </w:rPr>
              <w:t>Scenario Title</w:t>
            </w:r>
          </w:p>
        </w:tc>
        <w:tc>
          <w:tcPr>
            <w:tcW w:w="2566" w:type="dxa"/>
            <w:cnfStyle w:val="000010000000" w:firstRow="0" w:lastRow="0" w:firstColumn="0" w:lastColumn="0" w:oddVBand="1" w:evenVBand="0" w:oddHBand="0" w:evenHBand="0" w:firstRowFirstColumn="0" w:firstRowLastColumn="0" w:lastRowFirstColumn="0" w:lastRowLastColumn="0"/>
            <w:tcBorders/>
            <w:shd w:color="auto" w:fill="005EB8" w:themeFill="accent1" w:val="clear"/>
          </w:tcPr>
          <w:p>
            <w:pPr>
              <w:pStyle w:val="StyleArial12ptCentered"/>
              <w:spacing w:before="120" w:after="120"/>
              <w:ind w:left="360" w:hanging="0"/>
              <w:rPr>
                <w:b w:val="false"/>
                <w:b w:val="false"/>
                <w:color w:val="FFFFFF" w:themeColor="background1"/>
                <w:szCs w:val="22"/>
              </w:rPr>
            </w:pPr>
            <w:r>
              <w:rPr>
                <w:rFonts w:eastAsia="ＭＳ Ｐゴシック" w:cs="Arial"/>
                <w:b/>
                <w:bCs/>
                <w:color w:val="FFFFFF" w:themeColor="background1"/>
                <w:szCs w:val="22"/>
                <w:lang w:eastAsia="en-GB"/>
              </w:rPr>
              <w:t>Summary</w:t>
            </w:r>
          </w:p>
        </w:tc>
        <w:tc>
          <w:tcPr>
            <w:tcW w:w="4811" w:type="dxa"/>
            <w:cnfStyle w:val="000100000000" w:firstRow="0" w:lastRow="0" w:firstColumn="0" w:lastColumn="1" w:oddVBand="0" w:evenVBand="0" w:oddHBand="0" w:evenHBand="0" w:firstRowFirstColumn="0" w:firstRowLastColumn="0" w:lastRowFirstColumn="0" w:lastRowLastColumn="0"/>
            <w:tcBorders>
              <w:left w:val="nil"/>
              <w:bottom w:val="nil"/>
            </w:tcBorders>
            <w:shd w:color="auto" w:fill="005EB8" w:themeFill="accent1" w:val="clear"/>
          </w:tcPr>
          <w:p>
            <w:pPr>
              <w:pStyle w:val="StyleArial12ptCentered"/>
              <w:spacing w:before="120" w:after="120"/>
              <w:ind w:left="360" w:hanging="0"/>
              <w:rPr>
                <w:b w:val="false"/>
                <w:b w:val="false"/>
                <w:color w:val="FFFFFF" w:themeColor="background1"/>
                <w:szCs w:val="22"/>
              </w:rPr>
            </w:pPr>
            <w:r>
              <w:rPr>
                <w:rFonts w:eastAsia="ＭＳ Ｐゴシック" w:cs="Arial"/>
                <w:b/>
                <w:bCs/>
                <w:color w:val="FFFFFF" w:themeColor="background1"/>
                <w:szCs w:val="22"/>
                <w:lang w:eastAsia="en-GB"/>
              </w:rPr>
              <w:t>Expected Outcome</w:t>
            </w:r>
          </w:p>
        </w:tc>
      </w:tr>
      <w:tr>
        <w:trPr>
          <w:trHeight w:val="454" w:hRule="atLeast"/>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cPr>
          <w:p>
            <w:pPr>
              <w:pStyle w:val="Normal"/>
              <w:spacing w:before="120" w:after="120"/>
              <w:ind w:left="143" w:hanging="0"/>
              <w:jc w:val="center"/>
              <w:rPr>
                <w:rFonts w:cs="Arial"/>
                <w:szCs w:val="22"/>
              </w:rPr>
            </w:pPr>
            <w:r>
              <w:rPr>
                <w:rFonts w:eastAsia="ＭＳ Ｐゴシック" w:cs="Arial" w:cstheme="minorBidi" w:eastAsiaTheme="minorEastAsia"/>
                <w:b/>
                <w:bCs/>
                <w:szCs w:val="22"/>
                <w:lang w:eastAsia="en-GB"/>
              </w:rPr>
              <w:t>Clinical Data Quality / Content</w:t>
            </w:r>
          </w:p>
        </w:tc>
        <w:tc>
          <w:tcPr>
            <w:tcW w:w="2566" w:type="dxa"/>
            <w:cnfStyle w:val="000010000000" w:firstRow="0" w:lastRow="0" w:firstColumn="0" w:lastColumn="0" w:oddVBand="1" w:evenVBand="0" w:oddHBand="0" w:evenHBand="0" w:firstRowFirstColumn="0" w:firstRowLastColumn="0" w:lastRowFirstColumn="0" w:lastRowLastColumn="0"/>
            <w:tcBorders/>
          </w:tcPr>
          <w:p>
            <w:pPr>
              <w:pStyle w:val="Normal"/>
              <w:spacing w:before="120" w:after="120"/>
              <w:ind w:left="80" w:hanging="0"/>
              <w:rPr>
                <w:rFonts w:cs="Arial"/>
                <w:szCs w:val="22"/>
              </w:rPr>
            </w:pPr>
            <w:r>
              <w:rPr>
                <w:rFonts w:eastAsia="ＭＳ Ｐゴシック" w:cs="Arial" w:cstheme="minorBidi" w:eastAsiaTheme="minorEastAsia"/>
                <w:szCs w:val="22"/>
                <w:lang w:eastAsia="en-GB"/>
              </w:rPr>
              <w:t>Issues with the quality or content of the data e.g. incorrect codes used</w:t>
            </w:r>
          </w:p>
        </w:tc>
        <w:tc>
          <w:tcPr>
            <w:tcW w:w="4811" w:type="dxa"/>
            <w:cnfStyle w:val="000100000000" w:firstRow="0" w:lastRow="0" w:firstColumn="0" w:lastColumn="1" w:oddVBand="0" w:evenVBand="0" w:oddHBand="0" w:evenHBand="0" w:firstRowFirstColumn="0" w:firstRowLastColumn="0" w:lastRowFirstColumn="0" w:lastRowLastColumn="0"/>
            <w:tcBorders/>
          </w:tcPr>
          <w:p>
            <w:pPr>
              <w:pStyle w:val="ListParagraph"/>
              <w:numPr>
                <w:ilvl w:val="0"/>
                <w:numId w:val="23"/>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Local discussion with the Publishing Organisation to address issues</w:t>
            </w:r>
          </w:p>
          <w:p>
            <w:pPr>
              <w:pStyle w:val="ListParagraph"/>
              <w:numPr>
                <w:ilvl w:val="0"/>
                <w:numId w:val="23"/>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No NHSD involvement</w:t>
            </w:r>
          </w:p>
        </w:tc>
      </w:tr>
      <w:tr>
        <w:trPr>
          <w:trHeight w:val="454" w:hRule="atLeast"/>
        </w:trPr>
        <w:tc>
          <w:tcPr>
            <w:tcW w:w="2092"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tcPr>
          <w:p>
            <w:pPr>
              <w:pStyle w:val="Normal"/>
              <w:spacing w:before="120" w:after="120"/>
              <w:ind w:left="143" w:hanging="0"/>
              <w:jc w:val="center"/>
              <w:rPr>
                <w:rFonts w:cs="Arial"/>
                <w:szCs w:val="22"/>
              </w:rPr>
            </w:pPr>
            <w:r>
              <w:rPr>
                <w:rFonts w:eastAsia="ＭＳ Ｐゴシック" w:cs="Arial" w:cstheme="minorBidi" w:eastAsiaTheme="minorEastAsia"/>
                <w:b/>
                <w:bCs/>
                <w:szCs w:val="22"/>
                <w:lang w:eastAsia="en-GB"/>
              </w:rPr>
              <w:t>Event Message Structure</w:t>
            </w:r>
          </w:p>
        </w:tc>
        <w:tc>
          <w:tcPr>
            <w:tcW w:w="2566" w:type="dxa"/>
            <w:cnfStyle w:val="000010000000" w:firstRow="0" w:lastRow="0" w:firstColumn="0" w:lastColumn="0" w:oddVBand="1" w:evenVBand="0" w:oddHBand="0" w:evenHBand="0" w:firstRowFirstColumn="0" w:firstRowLastColumn="0" w:lastRowFirstColumn="0" w:lastRowLastColumn="0"/>
            <w:tcBorders/>
          </w:tcPr>
          <w:p>
            <w:pPr>
              <w:pStyle w:val="Normal"/>
              <w:spacing w:before="120" w:after="120"/>
              <w:ind w:left="80" w:hanging="0"/>
              <w:rPr>
                <w:rFonts w:cs="Arial"/>
                <w:szCs w:val="22"/>
              </w:rPr>
            </w:pPr>
            <w:r>
              <w:rPr>
                <w:rFonts w:eastAsia="ＭＳ Ｐゴシック" w:cs="Arial" w:cstheme="minorBidi" w:eastAsiaTheme="minorEastAsia"/>
                <w:szCs w:val="22"/>
                <w:lang w:eastAsia="en-GB"/>
              </w:rPr>
              <w:t>Unable to consume events in the local system</w:t>
            </w:r>
          </w:p>
        </w:tc>
        <w:tc>
          <w:tcPr>
            <w:tcW w:w="4811" w:type="dxa"/>
            <w:cnfStyle w:val="000100000000" w:firstRow="0" w:lastRow="0" w:firstColumn="0" w:lastColumn="1" w:oddVBand="0" w:evenVBand="0" w:oddHBand="0" w:evenHBand="0" w:firstRowFirstColumn="0" w:firstRowLastColumn="0" w:lastRowFirstColumn="0" w:lastRowLastColumn="0"/>
            <w:tcBorders>
              <w:top w:val="nil"/>
              <w:left w:val="nil"/>
              <w:bottom w:val="nil"/>
            </w:tcBorders>
          </w:tcPr>
          <w:p>
            <w:pPr>
              <w:pStyle w:val="ListParagraph"/>
              <w:numPr>
                <w:ilvl w:val="0"/>
                <w:numId w:val="24"/>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Initial local investigation and diagnosis completed to determine if:</w:t>
            </w:r>
          </w:p>
          <w:p>
            <w:pPr>
              <w:pStyle w:val="ListParagraph"/>
              <w:numPr>
                <w:ilvl w:val="1"/>
                <w:numId w:val="24"/>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Aligns to latest version of FIHR profile</w:t>
            </w:r>
          </w:p>
          <w:p>
            <w:pPr>
              <w:pStyle w:val="ListParagraph"/>
              <w:numPr>
                <w:ilvl w:val="1"/>
                <w:numId w:val="24"/>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Certificate has expired</w:t>
            </w:r>
          </w:p>
          <w:p>
            <w:pPr>
              <w:pStyle w:val="ListParagraph"/>
              <w:numPr>
                <w:ilvl w:val="0"/>
                <w:numId w:val="24"/>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Not expected that this would require NHSD involvement</w:t>
            </w:r>
          </w:p>
        </w:tc>
      </w:tr>
      <w:tr>
        <w:trPr>
          <w:trHeight w:val="454" w:hRule="atLeast"/>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cPr>
          <w:p>
            <w:pPr>
              <w:pStyle w:val="Normal"/>
              <w:spacing w:before="120" w:after="120"/>
              <w:ind w:left="143" w:hanging="0"/>
              <w:jc w:val="center"/>
              <w:rPr>
                <w:rFonts w:cs="Arial"/>
                <w:szCs w:val="22"/>
              </w:rPr>
            </w:pPr>
            <w:r>
              <w:rPr>
                <w:rFonts w:eastAsia="ＭＳ Ｐゴシック" w:cs="Arial" w:cstheme="minorBidi" w:eastAsiaTheme="minorEastAsia"/>
                <w:b/>
                <w:bCs/>
                <w:szCs w:val="22"/>
                <w:lang w:eastAsia="en-GB"/>
              </w:rPr>
              <w:t>Event Subscriptions</w:t>
            </w:r>
          </w:p>
        </w:tc>
        <w:tc>
          <w:tcPr>
            <w:tcW w:w="2566" w:type="dxa"/>
            <w:cnfStyle w:val="000010000000" w:firstRow="0" w:lastRow="0" w:firstColumn="0" w:lastColumn="0" w:oddVBand="1" w:evenVBand="0" w:oddHBand="0" w:evenHBand="0" w:firstRowFirstColumn="0" w:firstRowLastColumn="0" w:lastRowFirstColumn="0" w:lastRowLastColumn="0"/>
            <w:tcBorders/>
          </w:tcPr>
          <w:p>
            <w:pPr>
              <w:pStyle w:val="Normal"/>
              <w:spacing w:before="120" w:after="120"/>
              <w:ind w:left="80" w:hanging="0"/>
              <w:rPr>
                <w:rFonts w:cs="Arial"/>
                <w:szCs w:val="22"/>
              </w:rPr>
            </w:pPr>
            <w:r>
              <w:rPr>
                <w:rFonts w:eastAsia="ＭＳ Ｐゴシック" w:cs="Arial" w:cstheme="minorBidi" w:eastAsiaTheme="minorEastAsia"/>
                <w:szCs w:val="22"/>
                <w:lang w:eastAsia="en-GB"/>
              </w:rPr>
              <w:t>I do not know who this person is</w:t>
            </w:r>
          </w:p>
        </w:tc>
        <w:tc>
          <w:tcPr>
            <w:tcW w:w="4811" w:type="dxa"/>
            <w:cnfStyle w:val="000100000000" w:firstRow="0" w:lastRow="0" w:firstColumn="0" w:lastColumn="1" w:oddVBand="0" w:evenVBand="0" w:oddHBand="0" w:evenHBand="0" w:firstRowFirstColumn="0" w:firstRowLastColumn="0" w:lastRowFirstColumn="0" w:lastRowLastColumn="0"/>
            <w:tcBorders/>
          </w:tcPr>
          <w:p>
            <w:pPr>
              <w:pStyle w:val="ListParagraph"/>
              <w:numPr>
                <w:ilvl w:val="0"/>
                <w:numId w:val="25"/>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Initial local investigation and diagnosis completed to determine if:</w:t>
            </w:r>
          </w:p>
          <w:p>
            <w:pPr>
              <w:pStyle w:val="ListParagraph"/>
              <w:numPr>
                <w:ilvl w:val="1"/>
                <w:numId w:val="25"/>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Subscriptions are accurate</w:t>
            </w:r>
          </w:p>
          <w:p>
            <w:pPr>
              <w:pStyle w:val="ListParagraph"/>
              <w:numPr>
                <w:ilvl w:val="1"/>
                <w:numId w:val="25"/>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May require NHSD involvement following local investigation and diagnosis</w:t>
            </w:r>
          </w:p>
        </w:tc>
      </w:tr>
      <w:tr>
        <w:trPr>
          <w:trHeight w:val="454" w:hRule="atLeast"/>
          <w:cnfStyle w:val="010000000000" w:firstRow="0" w:lastRow="1" w:firstColumn="0" w:lastColumn="0" w:oddVBand="0" w:evenVBand="0" w:oddHBand="0"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double" w:sz="6" w:space="0" w:color="005EB8"/>
            </w:tcBorders>
          </w:tcPr>
          <w:p>
            <w:pPr>
              <w:pStyle w:val="Normal"/>
              <w:spacing w:before="120" w:after="120"/>
              <w:ind w:left="143" w:hanging="0"/>
              <w:jc w:val="center"/>
              <w:rPr>
                <w:rFonts w:cs="Arial"/>
                <w:szCs w:val="22"/>
              </w:rPr>
            </w:pPr>
            <w:r>
              <w:rPr>
                <w:rFonts w:eastAsia="ＭＳ Ｐゴシック" w:cs="Arial" w:cstheme="minorBidi" w:eastAsiaTheme="minorEastAsia"/>
                <w:b/>
                <w:bCs/>
                <w:szCs w:val="22"/>
                <w:lang w:eastAsia="en-GB"/>
              </w:rPr>
              <w:t>Event Disruption</w:t>
            </w:r>
          </w:p>
        </w:tc>
        <w:tc>
          <w:tcPr>
            <w:tcW w:w="2566" w:type="dxa"/>
            <w:cnfStyle w:val="000010000000" w:firstRow="0" w:lastRow="0" w:firstColumn="0" w:lastColumn="0" w:oddVBand="1" w:evenVBand="0" w:oddHBand="0" w:evenHBand="0" w:firstRowFirstColumn="0" w:firstRowLastColumn="0" w:lastRowFirstColumn="0" w:lastRowLastColumn="0"/>
            <w:tcBorders>
              <w:top w:val="double" w:sz="6" w:space="0" w:color="005EB8"/>
            </w:tcBorders>
          </w:tcPr>
          <w:p>
            <w:pPr>
              <w:pStyle w:val="Normal"/>
              <w:spacing w:before="120" w:after="120"/>
              <w:ind w:left="80" w:hanging="0"/>
              <w:rPr>
                <w:rFonts w:cs="Arial"/>
                <w:szCs w:val="22"/>
              </w:rPr>
            </w:pPr>
            <w:r>
              <w:rPr>
                <w:rFonts w:eastAsia="ＭＳ Ｐゴシック" w:cs="Arial" w:cstheme="minorBidi" w:eastAsiaTheme="minorEastAsia"/>
                <w:b w:val="false"/>
                <w:bCs w:val="false"/>
                <w:szCs w:val="22"/>
                <w:lang w:eastAsia="en-GB"/>
              </w:rPr>
              <w:t xml:space="preserve">I’ve stopped receiving events for a patient I have a legitimate interest </w:t>
            </w:r>
          </w:p>
        </w:tc>
        <w:tc>
          <w:tcPr>
            <w:tcW w:w="4811" w:type="dxa"/>
            <w:cnfStyle w:val="000100000000" w:firstRow="0" w:lastRow="0" w:firstColumn="0" w:lastColumn="1" w:oddVBand="0" w:evenVBand="0" w:oddHBand="0" w:evenHBand="0" w:firstRowFirstColumn="0" w:firstRowLastColumn="0" w:lastRowFirstColumn="0" w:lastRowLastColumn="0"/>
            <w:tcBorders>
              <w:top w:val="double" w:sz="6" w:space="0" w:color="005EB8"/>
            </w:tcBorders>
          </w:tcPr>
          <w:p>
            <w:pPr>
              <w:pStyle w:val="ListParagraph"/>
              <w:numPr>
                <w:ilvl w:val="0"/>
                <w:numId w:val="23"/>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Initial local investigation and diagnosis, reasons may include:</w:t>
            </w:r>
          </w:p>
          <w:p>
            <w:pPr>
              <w:pStyle w:val="ListParagraph"/>
              <w:numPr>
                <w:ilvl w:val="0"/>
                <w:numId w:val="23"/>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S Flag has been applied in PDS (events are not sent)</w:t>
            </w:r>
          </w:p>
          <w:p>
            <w:pPr>
              <w:pStyle w:val="ListParagraph"/>
              <w:numPr>
                <w:ilvl w:val="0"/>
                <w:numId w:val="23"/>
              </w:numPr>
              <w:spacing w:before="120" w:after="120"/>
              <w:contextualSpacing/>
              <w:rPr>
                <w:rFonts w:cs="Arial"/>
                <w:b w:val="false"/>
                <w:b w:val="false"/>
                <w:bCs w:val="false"/>
                <w:szCs w:val="22"/>
              </w:rPr>
            </w:pPr>
            <w:r>
              <w:rPr>
                <w:rFonts w:eastAsia="ＭＳ Ｐゴシック" w:cs="Arial" w:cstheme="minorBidi" w:eastAsiaTheme="minorEastAsia"/>
                <w:b w:val="false"/>
                <w:bCs w:val="false"/>
                <w:szCs w:val="22"/>
                <w:lang w:eastAsia="en-GB"/>
              </w:rPr>
              <w:t>Subscription may have failed / become corrupted</w:t>
            </w:r>
          </w:p>
        </w:tc>
      </w:tr>
    </w:tbl>
    <w:p>
      <w:pPr>
        <w:pStyle w:val="Normal"/>
        <w:spacing w:before="120" w:after="120"/>
        <w:rPr/>
      </w:pPr>
      <w:r>
        <w:rPr/>
      </w:r>
    </w:p>
    <w:p>
      <w:pPr>
        <w:pStyle w:val="Normal"/>
        <w:spacing w:before="120" w:after="120"/>
        <w:rPr/>
      </w:pPr>
      <w:r>
        <w:rPr/>
      </w:r>
    </w:p>
    <w:p>
      <w:pPr>
        <w:pStyle w:val="Heading2"/>
        <w:numPr>
          <w:ilvl w:val="1"/>
          <w:numId w:val="4"/>
        </w:numPr>
        <w:rPr/>
      </w:pPr>
      <w:bookmarkStart w:id="82" w:name="_Toc48895949"/>
      <w:r>
        <w:rPr/>
        <w:t>Incident Management</w:t>
      </w:r>
      <w:bookmarkEnd w:id="82"/>
    </w:p>
    <w:p>
      <w:pPr>
        <w:pStyle w:val="Normal"/>
        <w:spacing w:before="120" w:after="120"/>
        <w:rPr/>
      </w:pPr>
      <w:r>
        <w:rPr/>
        <w:drawing>
          <wp:inline distT="0" distB="0" distL="0" distR="0">
            <wp:extent cx="6856730" cy="6028055"/>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47"/>
                    <a:stretch>
                      <a:fillRect/>
                    </a:stretch>
                  </pic:blipFill>
                  <pic:spPr bwMode="auto">
                    <a:xfrm>
                      <a:off x="0" y="0"/>
                      <a:ext cx="6856730" cy="6028055"/>
                    </a:xfrm>
                    <a:prstGeom prst="rect">
                      <a:avLst/>
                    </a:prstGeom>
                  </pic:spPr>
                </pic:pic>
              </a:graphicData>
            </a:graphic>
          </wp:inline>
        </w:drawing>
      </w:r>
    </w:p>
    <w:p>
      <w:pPr>
        <w:pStyle w:val="Normal"/>
        <w:spacing w:before="120" w:after="120"/>
        <w:rPr/>
      </w:pPr>
      <w:r>
        <w:rPr/>
      </w:r>
    </w:p>
    <w:p>
      <w:pPr>
        <w:pStyle w:val="Normal"/>
        <w:spacing w:before="120" w:after="120"/>
        <w:rPr/>
      </w:pPr>
      <w:r>
        <w:rPr/>
        <w:t>NHS Digital National Service Desk:</w:t>
      </w:r>
    </w:p>
    <w:p>
      <w:pPr>
        <w:pStyle w:val="Bulletlist"/>
        <w:numPr>
          <w:ilvl w:val="0"/>
          <w:numId w:val="2"/>
        </w:numPr>
        <w:spacing w:before="120" w:after="120"/>
        <w:ind w:left="510" w:hanging="510"/>
        <w:rPr/>
      </w:pPr>
      <w:r>
        <w:rPr/>
        <w:t>Tel: 0300 3 035 035</w:t>
      </w:r>
    </w:p>
    <w:p>
      <w:pPr>
        <w:pStyle w:val="Bulletlist"/>
        <w:numPr>
          <w:ilvl w:val="0"/>
          <w:numId w:val="2"/>
        </w:numPr>
        <w:spacing w:before="120" w:after="120"/>
        <w:ind w:left="510" w:hanging="510"/>
        <w:rPr/>
      </w:pPr>
      <w:r>
        <w:rPr/>
        <w:t xml:space="preserve">Email: </w:t>
      </w:r>
      <w:hyperlink r:id="rId48">
        <w:r>
          <w:rPr>
            <w:rStyle w:val="InternetLink"/>
          </w:rPr>
          <w:t>ssd.nationalservicedesk@nhs.net</w:t>
        </w:r>
      </w:hyperlink>
    </w:p>
    <w:p>
      <w:pPr>
        <w:pStyle w:val="Bulletlist"/>
        <w:numPr>
          <w:ilvl w:val="0"/>
          <w:numId w:val="2"/>
        </w:numPr>
        <w:spacing w:before="120" w:after="120"/>
        <w:ind w:left="510" w:hanging="510"/>
        <w:rPr/>
      </w:pPr>
      <w:r>
        <w:fldChar w:fldCharType="begin"/>
      </w:r>
      <w:r>
        <w:rPr>
          <w:rStyle w:val="InternetLink"/>
        </w:rPr>
        <w:instrText> HYPERLINK "https://nww.serviceportal.digital.nhs.uk/CherwellPortal/NHSD" \l "0"</w:instrText>
      </w:r>
      <w:r>
        <w:rPr>
          <w:rStyle w:val="InternetLink"/>
        </w:rPr>
        <w:fldChar w:fldCharType="separate"/>
      </w:r>
      <w:r>
        <w:rPr>
          <w:rStyle w:val="InternetLink"/>
        </w:rPr>
        <w:t>Weblog</w:t>
      </w:r>
      <w:r>
        <w:rPr>
          <w:rStyle w:val="InternetLink"/>
        </w:rPr>
        <w:fldChar w:fldCharType="end"/>
      </w:r>
      <w:r>
        <w:rPr/>
        <w:t xml:space="preserve"> – Account Creation Required (see guide)</w:t>
      </w:r>
    </w:p>
    <w:p>
      <w:pPr>
        <w:pStyle w:val="Normal"/>
        <w:spacing w:before="120" w:after="120"/>
        <w:rPr/>
      </w:pPr>
      <w:r>
        <w:rPr/>
        <w:object>
          <v:shape id="ole_rId49" style="width:75.15pt;height:49.45pt" o:ole="">
            <v:imagedata r:id="rId50" o:title=""/>
          </v:shape>
          <o:OLEObject Type="Embed" ProgID="Package" ShapeID="ole_rId49" DrawAspect="Icon" ObjectID="_909311437" r:id="rId49"/>
        </w:object>
      </w:r>
    </w:p>
    <w:p>
      <w:pPr>
        <w:pStyle w:val="Normal"/>
        <w:spacing w:before="120" w:after="120"/>
        <w:rPr/>
      </w:pPr>
      <w:r>
        <w:rPr/>
      </w:r>
    </w:p>
    <w:p>
      <w:pPr>
        <w:pStyle w:val="Heading2"/>
        <w:numPr>
          <w:ilvl w:val="1"/>
          <w:numId w:val="4"/>
        </w:numPr>
        <w:rPr/>
      </w:pPr>
      <w:bookmarkStart w:id="83" w:name="_Toc48895950"/>
      <w:r>
        <w:rPr/>
        <w:t>Environment Maintenance</w:t>
      </w:r>
      <w:bookmarkEnd w:id="83"/>
    </w:p>
    <w:p>
      <w:pPr>
        <w:pStyle w:val="Normal"/>
        <w:spacing w:before="120" w:after="120"/>
        <w:rPr/>
      </w:pPr>
      <w:r>
        <w:rPr/>
        <w:t>During the onboarding process, all connecting parties will be added to the Platforms Support Newsletter distribution list. The newsletter informs users of forthcoming changes to the NEMS Service that are deployed to the NEMs test environments (this is currently the Integration environment and referred to as INT for short) prior to Live.</w:t>
      </w:r>
    </w:p>
    <w:p>
      <w:pPr>
        <w:pStyle w:val="Normal"/>
        <w:spacing w:before="120" w:after="120"/>
        <w:rPr/>
      </w:pPr>
      <w:r>
        <w:rPr/>
        <w:t>If these newsletters are not received in the first two weeks following go-live, contact the Platforms Support Desk (</w:t>
      </w:r>
      <w:hyperlink r:id="rId51">
        <w:r>
          <w:rPr>
            <w:rStyle w:val="InternetLink"/>
          </w:rPr>
          <w:t>platforms.supportdesk@nhs.net</w:t>
        </w:r>
      </w:hyperlink>
      <w:r>
        <w:rPr/>
        <w:t>) to request to be added to the distribution list.</w:t>
      </w:r>
    </w:p>
    <w:p>
      <w:pPr>
        <w:pStyle w:val="Normal"/>
        <w:spacing w:before="0" w:after="0"/>
        <w:rPr>
          <w:rFonts w:eastAsia="MS Mincho"/>
          <w:b/>
          <w:b/>
          <w:color w:val="005EB8" w:themeColor="accent1"/>
          <w:spacing w:val="-6"/>
          <w:kern w:val="2"/>
          <w:sz w:val="36"/>
          <w:szCs w:val="28"/>
          <w:highlight w:val="lightGray"/>
          <w14:ligatures w14:val="standardContextual"/>
        </w:rPr>
      </w:pPr>
      <w:r>
        <w:rPr>
          <w:rFonts w:eastAsia="MS Mincho"/>
          <w:b/>
          <w:color w:val="005EB8" w:themeColor="accent1"/>
          <w:spacing w:val="-6"/>
          <w:kern w:val="2"/>
          <w:sz w:val="36"/>
          <w:szCs w:val="28"/>
          <w:highlight w:val="lightGray"/>
          <w14:ligatures w14:val="standardContextual"/>
        </w:rPr>
      </w:r>
      <w:r>
        <w:br w:type="page"/>
      </w:r>
    </w:p>
    <w:p>
      <w:pPr>
        <w:pStyle w:val="Heading1"/>
        <w:numPr>
          <w:ilvl w:val="0"/>
          <w:numId w:val="4"/>
        </w:numPr>
        <w:rPr/>
      </w:pPr>
      <w:bookmarkStart w:id="84" w:name="_Toc48895951"/>
      <w:r>
        <w:rPr/>
        <w:t>Appendix</w:t>
      </w:r>
      <w:bookmarkEnd w:id="84"/>
    </w:p>
    <w:p>
      <w:pPr>
        <w:pStyle w:val="Heading2"/>
        <w:numPr>
          <w:ilvl w:val="1"/>
          <w:numId w:val="4"/>
        </w:numPr>
        <w:rPr/>
      </w:pPr>
      <w:bookmarkStart w:id="85" w:name="_Toc48895952"/>
      <w:r>
        <w:rPr/>
        <w:t>NEMS Business Rules</w:t>
      </w:r>
      <w:bookmarkEnd w:id="85"/>
    </w:p>
    <w:p>
      <w:pPr>
        <w:pStyle w:val="Heading3"/>
        <w:numPr>
          <w:ilvl w:val="2"/>
          <w:numId w:val="4"/>
        </w:numPr>
        <w:rPr>
          <w:rStyle w:val="InternetLink"/>
          <w:rFonts w:ascii="Arial" w:hAnsi="Arial"/>
          <w:color w:val="005EB8" w:themeColor="accent1"/>
        </w:rPr>
      </w:pPr>
      <w:bookmarkStart w:id="86" w:name="_Toc48895953"/>
      <w:bookmarkStart w:id="87" w:name="_Toc37169754"/>
      <w:bookmarkStart w:id="88" w:name="_Toc34148925"/>
      <w:r>
        <w:rPr>
          <w:rStyle w:val="InternetLink"/>
          <w:color w:val="005EB8" w:themeColor="accent1"/>
        </w:rPr>
        <w:t>PDS Birth Notification</w:t>
      </w:r>
      <w:bookmarkEnd w:id="86"/>
      <w:bookmarkEnd w:id="87"/>
      <w:bookmarkEnd w:id="88"/>
    </w:p>
    <w:p>
      <w:pPr>
        <w:pStyle w:val="Normal"/>
        <w:jc w:val="center"/>
        <w:rPr/>
      </w:pPr>
      <w:r>
        <w:rPr/>
        <w:drawing>
          <wp:inline distT="0" distB="0" distL="0" distR="0">
            <wp:extent cx="5521960" cy="787971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52"/>
                    <a:stretch>
                      <a:fillRect/>
                    </a:stretch>
                  </pic:blipFill>
                  <pic:spPr bwMode="auto">
                    <a:xfrm>
                      <a:off x="0" y="0"/>
                      <a:ext cx="5521960" cy="7879715"/>
                    </a:xfrm>
                    <a:prstGeom prst="rect">
                      <a:avLst/>
                    </a:prstGeom>
                  </pic:spPr>
                </pic:pic>
              </a:graphicData>
            </a:graphic>
          </wp:inline>
        </w:drawing>
      </w:r>
      <w:r>
        <w:br w:type="page"/>
      </w:r>
    </w:p>
    <w:p>
      <w:pPr>
        <w:pStyle w:val="Heading3"/>
        <w:numPr>
          <w:ilvl w:val="2"/>
          <w:numId w:val="4"/>
        </w:numPr>
        <w:rPr>
          <w:rStyle w:val="InternetLink"/>
          <w:rFonts w:ascii="Arial" w:hAnsi="Arial"/>
          <w:color w:val="005EB8" w:themeColor="accent1"/>
        </w:rPr>
      </w:pPr>
      <w:bookmarkStart w:id="89" w:name="_Toc48895954"/>
      <w:bookmarkStart w:id="90" w:name="_Toc37169755"/>
      <w:bookmarkStart w:id="91" w:name="_Toc34148926"/>
      <w:r>
        <w:rPr>
          <w:rStyle w:val="InternetLink"/>
          <w:color w:val="005EB8" w:themeColor="accent1"/>
        </w:rPr>
        <w:t>PDS Change of Address</w:t>
      </w:r>
      <w:bookmarkEnd w:id="89"/>
      <w:bookmarkEnd w:id="90"/>
      <w:bookmarkEnd w:id="91"/>
    </w:p>
    <w:p>
      <w:pPr>
        <w:pStyle w:val="Normal"/>
        <w:jc w:val="center"/>
        <w:rPr/>
      </w:pPr>
      <w:r>
        <w:rPr/>
        <w:drawing>
          <wp:inline distT="0" distB="0" distL="0" distR="0">
            <wp:extent cx="6064250" cy="8714105"/>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53"/>
                    <a:stretch>
                      <a:fillRect/>
                    </a:stretch>
                  </pic:blipFill>
                  <pic:spPr bwMode="auto">
                    <a:xfrm>
                      <a:off x="0" y="0"/>
                      <a:ext cx="6064250" cy="8714105"/>
                    </a:xfrm>
                    <a:prstGeom prst="rect">
                      <a:avLst/>
                    </a:prstGeom>
                  </pic:spPr>
                </pic:pic>
              </a:graphicData>
            </a:graphic>
          </wp:inline>
        </w:drawing>
      </w:r>
      <w:r>
        <w:br w:type="page"/>
      </w:r>
    </w:p>
    <w:p>
      <w:pPr>
        <w:pStyle w:val="Heading3"/>
        <w:numPr>
          <w:ilvl w:val="2"/>
          <w:numId w:val="4"/>
        </w:numPr>
        <w:rPr>
          <w:rStyle w:val="InternetLink"/>
          <w:rFonts w:ascii="Arial" w:hAnsi="Arial"/>
          <w:color w:val="005EB8" w:themeColor="accent1"/>
        </w:rPr>
      </w:pPr>
      <w:bookmarkStart w:id="92" w:name="_Toc48895955"/>
      <w:bookmarkStart w:id="93" w:name="_Toc37169756"/>
      <w:bookmarkStart w:id="94" w:name="_Toc34148927"/>
      <w:r>
        <w:rPr>
          <w:rStyle w:val="InternetLink"/>
          <w:color w:val="005EB8" w:themeColor="accent1"/>
        </w:rPr>
        <w:t>PDS Change of GP</w:t>
      </w:r>
      <w:bookmarkEnd w:id="92"/>
      <w:bookmarkEnd w:id="93"/>
      <w:bookmarkEnd w:id="94"/>
    </w:p>
    <w:p>
      <w:pPr>
        <w:pStyle w:val="Normal"/>
        <w:jc w:val="center"/>
        <w:rPr/>
      </w:pPr>
      <w:r>
        <w:rPr/>
        <w:drawing>
          <wp:inline distT="0" distB="0" distL="0" distR="0">
            <wp:extent cx="5998210" cy="854900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54"/>
                    <a:stretch>
                      <a:fillRect/>
                    </a:stretch>
                  </pic:blipFill>
                  <pic:spPr bwMode="auto">
                    <a:xfrm>
                      <a:off x="0" y="0"/>
                      <a:ext cx="5998210" cy="8549005"/>
                    </a:xfrm>
                    <a:prstGeom prst="rect">
                      <a:avLst/>
                    </a:prstGeom>
                  </pic:spPr>
                </pic:pic>
              </a:graphicData>
            </a:graphic>
          </wp:inline>
        </w:drawing>
      </w:r>
      <w:r>
        <w:br w:type="page"/>
      </w:r>
    </w:p>
    <w:p>
      <w:pPr>
        <w:pStyle w:val="Heading3"/>
        <w:numPr>
          <w:ilvl w:val="2"/>
          <w:numId w:val="4"/>
        </w:numPr>
        <w:rPr>
          <w:rStyle w:val="InternetLink"/>
          <w:rFonts w:ascii="Arial" w:hAnsi="Arial"/>
          <w:color w:val="005EB8" w:themeColor="accent1"/>
        </w:rPr>
      </w:pPr>
      <w:bookmarkStart w:id="95" w:name="_Toc48895956"/>
      <w:bookmarkStart w:id="96" w:name="_Toc37169757"/>
      <w:bookmarkStart w:id="97" w:name="_Toc34148928"/>
      <w:r>
        <w:rPr>
          <w:rStyle w:val="InternetLink"/>
          <w:color w:val="005EB8" w:themeColor="accent1"/>
        </w:rPr>
        <w:t>PDS Death</w:t>
      </w:r>
      <w:bookmarkEnd w:id="95"/>
      <w:bookmarkEnd w:id="96"/>
      <w:bookmarkEnd w:id="97"/>
    </w:p>
    <w:p>
      <w:pPr>
        <w:pStyle w:val="Normal"/>
        <w:jc w:val="center"/>
        <w:rPr/>
      </w:pPr>
      <w:r>
        <w:rPr/>
        <w:drawing>
          <wp:inline distT="0" distB="0" distL="0" distR="0">
            <wp:extent cx="6174105" cy="8705850"/>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55"/>
                    <a:stretch>
                      <a:fillRect/>
                    </a:stretch>
                  </pic:blipFill>
                  <pic:spPr bwMode="auto">
                    <a:xfrm>
                      <a:off x="0" y="0"/>
                      <a:ext cx="6174105" cy="8705850"/>
                    </a:xfrm>
                    <a:prstGeom prst="rect">
                      <a:avLst/>
                    </a:prstGeom>
                  </pic:spPr>
                </pic:pic>
              </a:graphicData>
            </a:graphic>
          </wp:inline>
        </w:drawing>
      </w:r>
    </w:p>
    <w:p>
      <w:pPr>
        <w:pStyle w:val="Heading3"/>
        <w:numPr>
          <w:ilvl w:val="2"/>
          <w:numId w:val="4"/>
        </w:numPr>
        <w:rPr>
          <w:rStyle w:val="InternetLink"/>
          <w:rFonts w:ascii="Arial" w:hAnsi="Arial"/>
          <w:color w:val="005EB8" w:themeColor="accent1"/>
        </w:rPr>
      </w:pPr>
      <w:bookmarkStart w:id="98" w:name="_Toc48895957"/>
      <w:bookmarkStart w:id="99" w:name="_Toc37169758"/>
      <w:bookmarkStart w:id="100" w:name="_Toc34148929"/>
      <w:r>
        <w:rPr>
          <w:rStyle w:val="InternetLink"/>
          <w:color w:val="005EB8" w:themeColor="accent1"/>
        </w:rPr>
        <w:t>Newborn Infant Physical Examination</w:t>
      </w:r>
      <w:bookmarkEnd w:id="98"/>
      <w:bookmarkEnd w:id="99"/>
      <w:bookmarkEnd w:id="100"/>
    </w:p>
    <w:p>
      <w:pPr>
        <w:pStyle w:val="Normal"/>
        <w:spacing w:before="0" w:after="0"/>
        <w:jc w:val="center"/>
        <w:rPr>
          <w:b/>
          <w:b/>
          <w:color w:val="005EB8" w:themeColor="accent1"/>
          <w:szCs w:val="20"/>
        </w:rPr>
      </w:pPr>
      <w:r>
        <w:rPr/>
        <w:drawing>
          <wp:inline distT="0" distB="0" distL="0" distR="0">
            <wp:extent cx="5854065" cy="8460740"/>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56"/>
                    <a:stretch>
                      <a:fillRect/>
                    </a:stretch>
                  </pic:blipFill>
                  <pic:spPr bwMode="auto">
                    <a:xfrm>
                      <a:off x="0" y="0"/>
                      <a:ext cx="5854065" cy="8460740"/>
                    </a:xfrm>
                    <a:prstGeom prst="rect">
                      <a:avLst/>
                    </a:prstGeom>
                  </pic:spPr>
                </pic:pic>
              </a:graphicData>
            </a:graphic>
          </wp:inline>
        </w:drawing>
      </w:r>
      <w:r>
        <w:br w:type="page"/>
      </w:r>
    </w:p>
    <w:p>
      <w:pPr>
        <w:pStyle w:val="Heading3"/>
        <w:numPr>
          <w:ilvl w:val="2"/>
          <w:numId w:val="4"/>
        </w:numPr>
        <w:rPr>
          <w:rStyle w:val="InternetLink"/>
          <w:rFonts w:ascii="Arial" w:hAnsi="Arial"/>
          <w:color w:val="005EB8" w:themeColor="accent1"/>
        </w:rPr>
      </w:pPr>
      <w:bookmarkStart w:id="101" w:name="_Toc48895958"/>
      <w:bookmarkStart w:id="102" w:name="_Toc37169759"/>
      <w:bookmarkStart w:id="103" w:name="_Toc34148930"/>
      <w:r>
        <w:rPr>
          <w:rStyle w:val="InternetLink"/>
          <w:color w:val="005EB8" w:themeColor="accent1"/>
        </w:rPr>
        <w:t>Bloodspot Outcome</w:t>
      </w:r>
      <w:bookmarkEnd w:id="101"/>
      <w:bookmarkEnd w:id="102"/>
      <w:bookmarkEnd w:id="103"/>
    </w:p>
    <w:p>
      <w:pPr>
        <w:pStyle w:val="Normal"/>
        <w:spacing w:before="0" w:after="0"/>
        <w:jc w:val="center"/>
        <w:rPr/>
      </w:pPr>
      <w:r>
        <w:rPr/>
        <w:drawing>
          <wp:inline distT="0" distB="0" distL="0" distR="0">
            <wp:extent cx="6012815" cy="8676005"/>
            <wp:effectExtent l="0" t="0" r="0" b="0"/>
            <wp:docPr id="2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
                    <pic:cNvPicPr>
                      <a:picLocks noChangeAspect="1" noChangeArrowheads="1"/>
                    </pic:cNvPicPr>
                  </pic:nvPicPr>
                  <pic:blipFill>
                    <a:blip r:embed="rId57"/>
                    <a:stretch>
                      <a:fillRect/>
                    </a:stretch>
                  </pic:blipFill>
                  <pic:spPr bwMode="auto">
                    <a:xfrm>
                      <a:off x="0" y="0"/>
                      <a:ext cx="6012815" cy="8676005"/>
                    </a:xfrm>
                    <a:prstGeom prst="rect">
                      <a:avLst/>
                    </a:prstGeom>
                  </pic:spPr>
                </pic:pic>
              </a:graphicData>
            </a:graphic>
          </wp:inline>
        </w:drawing>
      </w:r>
    </w:p>
    <w:p>
      <w:pPr>
        <w:pStyle w:val="Heading3"/>
        <w:numPr>
          <w:ilvl w:val="2"/>
          <w:numId w:val="4"/>
        </w:numPr>
        <w:rPr>
          <w:rStyle w:val="InternetLink"/>
          <w:rFonts w:ascii="Arial" w:hAnsi="Arial"/>
          <w:color w:val="005EB8" w:themeColor="accent1"/>
        </w:rPr>
      </w:pPr>
      <w:bookmarkStart w:id="104" w:name="_Toc48895959"/>
      <w:bookmarkStart w:id="105" w:name="_Toc37169760"/>
      <w:bookmarkStart w:id="106" w:name="_Toc34148931"/>
      <w:r>
        <w:rPr>
          <w:rStyle w:val="InternetLink"/>
          <w:color w:val="005EB8" w:themeColor="accent1"/>
        </w:rPr>
        <w:t>Hearing</w:t>
      </w:r>
      <w:bookmarkEnd w:id="104"/>
      <w:bookmarkEnd w:id="105"/>
      <w:bookmarkEnd w:id="106"/>
    </w:p>
    <w:p>
      <w:pPr>
        <w:pStyle w:val="Normal"/>
        <w:jc w:val="center"/>
        <w:rPr/>
      </w:pPr>
      <w:r>
        <w:rPr/>
        <w:drawing>
          <wp:inline distT="0" distB="0" distL="0" distR="0">
            <wp:extent cx="5941060" cy="8590915"/>
            <wp:effectExtent l="0" t="0" r="0" b="0"/>
            <wp:docPr id="2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
                    <pic:cNvPicPr>
                      <a:picLocks noChangeAspect="1" noChangeArrowheads="1"/>
                    </pic:cNvPicPr>
                  </pic:nvPicPr>
                  <pic:blipFill>
                    <a:blip r:embed="rId58"/>
                    <a:stretch>
                      <a:fillRect/>
                    </a:stretch>
                  </pic:blipFill>
                  <pic:spPr bwMode="auto">
                    <a:xfrm>
                      <a:off x="0" y="0"/>
                      <a:ext cx="5941060" cy="8590915"/>
                    </a:xfrm>
                    <a:prstGeom prst="rect">
                      <a:avLst/>
                    </a:prstGeom>
                  </pic:spPr>
                </pic:pic>
              </a:graphicData>
            </a:graphic>
          </wp:inline>
        </w:drawing>
      </w:r>
    </w:p>
    <w:p>
      <w:pPr>
        <w:pStyle w:val="Heading3"/>
        <w:numPr>
          <w:ilvl w:val="2"/>
          <w:numId w:val="4"/>
        </w:numPr>
        <w:rPr>
          <w:rStyle w:val="InternetLink"/>
          <w:rFonts w:ascii="Arial" w:hAnsi="Arial"/>
          <w:color w:val="005EB8" w:themeColor="accent1"/>
        </w:rPr>
      </w:pPr>
      <w:bookmarkStart w:id="107" w:name="_Toc48895960"/>
      <w:bookmarkStart w:id="108" w:name="_Toc37169761"/>
      <w:bookmarkStart w:id="109" w:name="_Toc34148932"/>
      <w:r>
        <w:rPr>
          <w:rStyle w:val="InternetLink"/>
          <w:color w:val="005EB8" w:themeColor="accent1"/>
        </w:rPr>
        <w:t>Professional Contact</w:t>
      </w:r>
      <w:bookmarkEnd w:id="107"/>
      <w:bookmarkEnd w:id="108"/>
      <w:bookmarkEnd w:id="109"/>
    </w:p>
    <w:p>
      <w:pPr>
        <w:pStyle w:val="Normal"/>
        <w:jc w:val="center"/>
        <w:rPr/>
      </w:pPr>
      <w:r>
        <w:rPr/>
        <w:drawing>
          <wp:inline distT="0" distB="0" distL="0" distR="0">
            <wp:extent cx="5892165" cy="8529955"/>
            <wp:effectExtent l="0" t="0" r="0" b="0"/>
            <wp:docPr id="2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
                    <pic:cNvPicPr>
                      <a:picLocks noChangeAspect="1" noChangeArrowheads="1"/>
                    </pic:cNvPicPr>
                  </pic:nvPicPr>
                  <pic:blipFill>
                    <a:blip r:embed="rId59"/>
                    <a:stretch>
                      <a:fillRect/>
                    </a:stretch>
                  </pic:blipFill>
                  <pic:spPr bwMode="auto">
                    <a:xfrm>
                      <a:off x="0" y="0"/>
                      <a:ext cx="5892165" cy="8529955"/>
                    </a:xfrm>
                    <a:prstGeom prst="rect">
                      <a:avLst/>
                    </a:prstGeom>
                  </pic:spPr>
                </pic:pic>
              </a:graphicData>
            </a:graphic>
          </wp:inline>
        </w:drawing>
      </w:r>
      <w:r>
        <w:br w:type="page"/>
      </w:r>
    </w:p>
    <w:p>
      <w:pPr>
        <w:pStyle w:val="Heading3"/>
        <w:numPr>
          <w:ilvl w:val="2"/>
          <w:numId w:val="4"/>
        </w:numPr>
        <w:rPr>
          <w:rStyle w:val="InternetLink"/>
          <w:rFonts w:ascii="Arial" w:hAnsi="Arial"/>
          <w:color w:val="005EB8" w:themeColor="accent1"/>
        </w:rPr>
      </w:pPr>
      <w:bookmarkStart w:id="110" w:name="_Toc48895961"/>
      <w:bookmarkStart w:id="111" w:name="_Toc37169762"/>
      <w:bookmarkStart w:id="112" w:name="_Toc34148933"/>
      <w:r>
        <w:rPr>
          <w:rStyle w:val="InternetLink"/>
          <w:color w:val="005EB8" w:themeColor="accent1"/>
        </w:rPr>
        <w:t>Vaccinations</w:t>
      </w:r>
      <w:bookmarkEnd w:id="110"/>
      <w:bookmarkEnd w:id="111"/>
      <w:bookmarkEnd w:id="112"/>
    </w:p>
    <w:p>
      <w:pPr>
        <w:pStyle w:val="Normal"/>
        <w:jc w:val="center"/>
        <w:rPr/>
      </w:pPr>
      <w:r>
        <w:rPr/>
        <w:drawing>
          <wp:inline distT="0" distB="0" distL="0" distR="0">
            <wp:extent cx="5955030" cy="8583295"/>
            <wp:effectExtent l="0" t="0" r="0" b="0"/>
            <wp:docPr id="2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
                    <pic:cNvPicPr>
                      <a:picLocks noChangeAspect="1" noChangeArrowheads="1"/>
                    </pic:cNvPicPr>
                  </pic:nvPicPr>
                  <pic:blipFill>
                    <a:blip r:embed="rId60"/>
                    <a:stretch>
                      <a:fillRect/>
                    </a:stretch>
                  </pic:blipFill>
                  <pic:spPr bwMode="auto">
                    <a:xfrm>
                      <a:off x="0" y="0"/>
                      <a:ext cx="5955030" cy="8583295"/>
                    </a:xfrm>
                    <a:prstGeom prst="rect">
                      <a:avLst/>
                    </a:prstGeom>
                  </pic:spPr>
                </pic:pic>
              </a:graphicData>
            </a:graphic>
          </wp:inline>
        </w:drawing>
      </w:r>
    </w:p>
    <w:p>
      <w:pPr>
        <w:pStyle w:val="Normal"/>
        <w:rPr/>
      </w:pPr>
      <w:r>
        <w:rPr/>
      </w:r>
    </w:p>
    <w:p>
      <w:pPr>
        <w:pStyle w:val="Normal"/>
        <w:rPr/>
      </w:pPr>
      <w:r>
        <w:rPr/>
      </w:r>
    </w:p>
    <w:p>
      <w:pPr>
        <w:pStyle w:val="Heading2"/>
        <w:numPr>
          <w:ilvl w:val="1"/>
          <w:numId w:val="4"/>
        </w:numPr>
        <w:rPr/>
      </w:pPr>
      <w:bookmarkStart w:id="113" w:name="_Toc48895962"/>
      <w:r>
        <w:rPr/>
        <w:t>NHS Digital Onboarding Supplier Task Checklist</w:t>
      </w:r>
      <w:bookmarkEnd w:id="113"/>
    </w:p>
    <w:p>
      <w:pPr>
        <w:pStyle w:val="PlainText"/>
        <w:spacing w:before="120" w:after="120"/>
        <w:rPr>
          <w:sz w:val="24"/>
          <w:szCs w:val="24"/>
        </w:rPr>
      </w:pPr>
      <w:r>
        <w:rPr>
          <w:sz w:val="24"/>
          <w:szCs w:val="24"/>
        </w:rPr>
        <w:t>The following activities are listed in an approximate chronological order as a guide only, to be tailored according to local working practices and processes:</w:t>
      </w:r>
    </w:p>
    <w:p>
      <w:pPr>
        <w:pStyle w:val="PlainText"/>
        <w:numPr>
          <w:ilvl w:val="0"/>
          <w:numId w:val="7"/>
        </w:numPr>
        <w:spacing w:before="120" w:after="120"/>
        <w:rPr>
          <w:sz w:val="24"/>
          <w:szCs w:val="24"/>
        </w:rPr>
      </w:pPr>
      <w:r>
        <w:rPr>
          <w:sz w:val="24"/>
          <w:szCs w:val="24"/>
        </w:rPr>
        <w:t>Assign key resources to the project including:</w:t>
      </w:r>
    </w:p>
    <w:p>
      <w:pPr>
        <w:pStyle w:val="PlainText"/>
        <w:numPr>
          <w:ilvl w:val="1"/>
          <w:numId w:val="7"/>
        </w:numPr>
        <w:spacing w:before="120" w:after="120"/>
        <w:rPr>
          <w:sz w:val="24"/>
          <w:szCs w:val="24"/>
        </w:rPr>
      </w:pPr>
      <w:r>
        <w:rPr>
          <w:sz w:val="24"/>
          <w:szCs w:val="24"/>
        </w:rPr>
        <w:t>Primary Contact (e.g. project manager)</w:t>
      </w:r>
    </w:p>
    <w:p>
      <w:pPr>
        <w:pStyle w:val="PlainText"/>
        <w:numPr>
          <w:ilvl w:val="1"/>
          <w:numId w:val="7"/>
        </w:numPr>
        <w:spacing w:before="120" w:after="120"/>
        <w:rPr>
          <w:sz w:val="24"/>
          <w:szCs w:val="24"/>
        </w:rPr>
      </w:pPr>
      <w:r>
        <w:rPr>
          <w:sz w:val="24"/>
          <w:szCs w:val="24"/>
        </w:rPr>
        <w:t>Technical lead and/or developer(s)</w:t>
      </w:r>
    </w:p>
    <w:p>
      <w:pPr>
        <w:pStyle w:val="PlainText"/>
        <w:numPr>
          <w:ilvl w:val="1"/>
          <w:numId w:val="7"/>
        </w:numPr>
        <w:spacing w:before="120" w:after="120"/>
        <w:rPr>
          <w:sz w:val="24"/>
          <w:szCs w:val="24"/>
        </w:rPr>
      </w:pPr>
      <w:r>
        <w:rPr>
          <w:sz w:val="24"/>
          <w:szCs w:val="24"/>
        </w:rPr>
        <w:t>IG lead</w:t>
      </w:r>
    </w:p>
    <w:p>
      <w:pPr>
        <w:pStyle w:val="PlainText"/>
        <w:numPr>
          <w:ilvl w:val="1"/>
          <w:numId w:val="7"/>
        </w:numPr>
        <w:spacing w:before="120" w:after="120"/>
        <w:rPr>
          <w:sz w:val="24"/>
          <w:szCs w:val="24"/>
        </w:rPr>
      </w:pPr>
      <w:r>
        <w:rPr>
          <w:sz w:val="24"/>
          <w:szCs w:val="24"/>
        </w:rPr>
        <w:t>Clinical lead</w:t>
      </w:r>
    </w:p>
    <w:p>
      <w:pPr>
        <w:pStyle w:val="PlainText"/>
        <w:numPr>
          <w:ilvl w:val="0"/>
          <w:numId w:val="7"/>
        </w:numPr>
        <w:spacing w:before="120" w:after="120"/>
        <w:rPr>
          <w:sz w:val="24"/>
          <w:szCs w:val="24"/>
        </w:rPr>
      </w:pPr>
      <w:r>
        <w:rPr>
          <w:sz w:val="24"/>
          <w:szCs w:val="24"/>
        </w:rPr>
        <w:t xml:space="preserve">All key resources to Review Onboarding Documentation. </w:t>
      </w:r>
    </w:p>
    <w:p>
      <w:pPr>
        <w:pStyle w:val="PlainText"/>
        <w:numPr>
          <w:ilvl w:val="0"/>
          <w:numId w:val="7"/>
        </w:numPr>
        <w:spacing w:before="120" w:after="120"/>
        <w:rPr>
          <w:sz w:val="24"/>
          <w:szCs w:val="24"/>
        </w:rPr>
      </w:pPr>
      <w:r>
        <w:rPr>
          <w:sz w:val="24"/>
          <w:szCs w:val="24"/>
        </w:rPr>
        <w:t xml:space="preserve">Confirm Delivery Approach. </w:t>
      </w:r>
    </w:p>
    <w:p>
      <w:pPr>
        <w:pStyle w:val="PlainText"/>
        <w:numPr>
          <w:ilvl w:val="0"/>
          <w:numId w:val="7"/>
        </w:numPr>
        <w:spacing w:before="120" w:after="120"/>
        <w:rPr>
          <w:sz w:val="24"/>
          <w:szCs w:val="24"/>
        </w:rPr>
      </w:pPr>
      <w:r>
        <w:rPr>
          <w:sz w:val="24"/>
          <w:szCs w:val="24"/>
        </w:rPr>
        <w:t xml:space="preserve">Commence Product Development. </w:t>
      </w:r>
    </w:p>
    <w:p>
      <w:pPr>
        <w:pStyle w:val="PlainText"/>
        <w:numPr>
          <w:ilvl w:val="0"/>
          <w:numId w:val="7"/>
        </w:numPr>
        <w:spacing w:before="120" w:after="120"/>
        <w:rPr>
          <w:sz w:val="24"/>
          <w:szCs w:val="24"/>
        </w:rPr>
      </w:pPr>
      <w:r>
        <w:rPr>
          <w:sz w:val="24"/>
          <w:szCs w:val="24"/>
        </w:rPr>
        <w:t xml:space="preserve">Commence activities listed in SCAL </w:t>
      </w:r>
    </w:p>
    <w:p>
      <w:pPr>
        <w:pStyle w:val="PlainText"/>
        <w:numPr>
          <w:ilvl w:val="0"/>
          <w:numId w:val="7"/>
        </w:numPr>
        <w:spacing w:before="120" w:after="120"/>
        <w:rPr>
          <w:sz w:val="24"/>
          <w:szCs w:val="24"/>
        </w:rPr>
      </w:pPr>
      <w:r>
        <w:rPr>
          <w:sz w:val="24"/>
          <w:szCs w:val="24"/>
        </w:rPr>
        <w:t>Commence any applicable local clinical safety assessments / processes.</w:t>
      </w:r>
    </w:p>
    <w:p>
      <w:pPr>
        <w:pStyle w:val="PlainText"/>
        <w:numPr>
          <w:ilvl w:val="0"/>
          <w:numId w:val="7"/>
        </w:numPr>
        <w:spacing w:before="120" w:after="120"/>
        <w:rPr>
          <w:sz w:val="24"/>
          <w:szCs w:val="24"/>
        </w:rPr>
      </w:pPr>
      <w:r>
        <w:rPr>
          <w:sz w:val="24"/>
          <w:szCs w:val="24"/>
        </w:rPr>
        <w:t xml:space="preserve">Test development against reference implementation. </w:t>
      </w:r>
    </w:p>
    <w:p>
      <w:pPr>
        <w:pStyle w:val="PlainText"/>
        <w:numPr>
          <w:ilvl w:val="0"/>
          <w:numId w:val="7"/>
        </w:numPr>
        <w:spacing w:before="120" w:after="120"/>
        <w:rPr>
          <w:sz w:val="24"/>
          <w:szCs w:val="24"/>
        </w:rPr>
      </w:pPr>
      <w:r>
        <w:rPr>
          <w:sz w:val="24"/>
          <w:szCs w:val="24"/>
        </w:rPr>
        <w:t xml:space="preserve">Complete TKW. </w:t>
      </w:r>
    </w:p>
    <w:p>
      <w:pPr>
        <w:pStyle w:val="PlainText"/>
        <w:numPr>
          <w:ilvl w:val="0"/>
          <w:numId w:val="7"/>
        </w:numPr>
        <w:spacing w:before="120" w:after="120"/>
        <w:rPr>
          <w:sz w:val="24"/>
          <w:szCs w:val="24"/>
        </w:rPr>
      </w:pPr>
      <w:r>
        <w:rPr>
          <w:sz w:val="24"/>
          <w:szCs w:val="24"/>
        </w:rPr>
        <w:t>Complete Conformance Testing (NHSD Test Environment).</w:t>
      </w:r>
    </w:p>
    <w:p>
      <w:pPr>
        <w:pStyle w:val="PlainText"/>
        <w:numPr>
          <w:ilvl w:val="0"/>
          <w:numId w:val="7"/>
        </w:numPr>
        <w:spacing w:before="120" w:after="120"/>
        <w:rPr>
          <w:sz w:val="24"/>
          <w:szCs w:val="24"/>
        </w:rPr>
      </w:pPr>
      <w:r>
        <w:rPr>
          <w:sz w:val="24"/>
          <w:szCs w:val="24"/>
        </w:rPr>
        <w:t xml:space="preserve"> </w:t>
      </w:r>
      <w:r>
        <w:rPr>
          <w:sz w:val="24"/>
          <w:szCs w:val="24"/>
        </w:rPr>
        <w:t>Update Business Processes and Train Users.</w:t>
      </w:r>
    </w:p>
    <w:p>
      <w:pPr>
        <w:pStyle w:val="PlainText"/>
        <w:numPr>
          <w:ilvl w:val="0"/>
          <w:numId w:val="7"/>
        </w:numPr>
        <w:spacing w:before="120" w:after="120"/>
        <w:rPr>
          <w:sz w:val="24"/>
          <w:szCs w:val="24"/>
        </w:rPr>
      </w:pPr>
      <w:r>
        <w:rPr>
          <w:sz w:val="24"/>
          <w:szCs w:val="24"/>
        </w:rPr>
        <w:t xml:space="preserve"> </w:t>
      </w:r>
      <w:r>
        <w:rPr>
          <w:sz w:val="24"/>
          <w:szCs w:val="24"/>
        </w:rPr>
        <w:t>Obtain all necessary local approvals for go-live (e.g. clinical safety, board approvals).</w:t>
      </w:r>
    </w:p>
    <w:p>
      <w:pPr>
        <w:pStyle w:val="PlainText"/>
        <w:numPr>
          <w:ilvl w:val="0"/>
          <w:numId w:val="7"/>
        </w:numPr>
        <w:spacing w:before="120" w:after="120"/>
        <w:rPr>
          <w:sz w:val="24"/>
          <w:szCs w:val="24"/>
        </w:rPr>
      </w:pPr>
      <w:r>
        <w:rPr>
          <w:sz w:val="24"/>
          <w:szCs w:val="24"/>
        </w:rPr>
        <w:t xml:space="preserve"> </w:t>
      </w:r>
      <w:r>
        <w:rPr>
          <w:sz w:val="24"/>
          <w:szCs w:val="24"/>
        </w:rPr>
        <w:t>Sign NHS Digital relevant commercial documents</w:t>
      </w:r>
    </w:p>
    <w:p>
      <w:pPr>
        <w:pStyle w:val="PlainText"/>
        <w:numPr>
          <w:ilvl w:val="0"/>
          <w:numId w:val="7"/>
        </w:numPr>
        <w:spacing w:before="120" w:after="120"/>
        <w:rPr>
          <w:sz w:val="24"/>
          <w:szCs w:val="24"/>
        </w:rPr>
      </w:pPr>
      <w:r>
        <w:rPr>
          <w:sz w:val="24"/>
          <w:szCs w:val="24"/>
        </w:rPr>
        <w:t xml:space="preserve"> </w:t>
      </w:r>
      <w:r>
        <w:rPr>
          <w:sz w:val="24"/>
          <w:szCs w:val="24"/>
        </w:rPr>
        <w:t>Undertake implementation with NHS Digital.</w:t>
      </w:r>
    </w:p>
    <w:p>
      <w:pPr>
        <w:pStyle w:val="PlainText"/>
        <w:spacing w:before="120" w:after="120"/>
        <w:rPr>
          <w:sz w:val="24"/>
          <w:szCs w:val="24"/>
        </w:rPr>
      </w:pPr>
      <w:r>
        <w:rPr>
          <w:sz w:val="24"/>
          <w:szCs w:val="24"/>
        </w:rPr>
      </w:r>
    </w:p>
    <w:p>
      <w:pPr>
        <w:pStyle w:val="Heading2"/>
        <w:numPr>
          <w:ilvl w:val="1"/>
          <w:numId w:val="4"/>
        </w:numPr>
        <w:rPr/>
      </w:pPr>
      <w:bookmarkStart w:id="114" w:name="_Toc48895963"/>
      <w:r>
        <w:rPr/>
        <w:t>Frequently Asked Questions</w:t>
      </w:r>
      <w:bookmarkEnd w:id="114"/>
    </w:p>
    <w:tbl>
      <w:tblPr>
        <w:tblStyle w:val="LightList-Accent11"/>
        <w:tblW w:w="9913" w:type="dxa"/>
        <w:jc w:val="left"/>
        <w:tblInd w:w="0" w:type="dxa"/>
        <w:tblCellMar>
          <w:top w:w="0" w:type="dxa"/>
          <w:left w:w="108" w:type="dxa"/>
          <w:bottom w:w="0" w:type="dxa"/>
          <w:right w:w="108" w:type="dxa"/>
        </w:tblCellMar>
        <w:tblLook w:firstRow="1" w:noVBand="1" w:lastRow="0" w:firstColumn="1" w:lastColumn="0" w:noHBand="0" w:val="04a0"/>
      </w:tblPr>
      <w:tblGrid>
        <w:gridCol w:w="557"/>
        <w:gridCol w:w="2693"/>
        <w:gridCol w:w="6663"/>
      </w:tblGrid>
      <w:tr>
        <w:trPr>
          <w:tblHeader w:val="true"/>
          <w:cantSplit w:val="true"/>
          <w:cnfStyle w:val="100000000000" w:firstRow="1" w:lastRow="0" w:firstColumn="0" w:lastColumn="0" w:oddVBand="0" w:evenVBand="0" w:oddHBand="0" w:evenHBand="0" w:firstRowFirstColumn="0" w:firstRowLastColumn="0" w:lastRowFirstColumn="0" w:lastRowLastColumn="0"/>
        </w:trPr>
        <w:tc>
          <w:tcPr>
            <w:tcW w:w="55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005EB8" w:themeFill="accent1" w:val="clear"/>
            <w:vAlign w:val="center"/>
          </w:tcPr>
          <w:p>
            <w:pPr>
              <w:pStyle w:val="Normal"/>
              <w:spacing w:before="120" w:after="120"/>
              <w:jc w:val="center"/>
              <w:rPr>
                <w:b w:val="false"/>
                <w:b w:val="false"/>
                <w:bCs w:val="false"/>
                <w:color w:val="FFFFFF" w:themeColor="background1"/>
              </w:rPr>
            </w:pPr>
            <w:r>
              <w:rPr>
                <w:rFonts w:eastAsia="ＭＳ Ｐゴシック" w:cs="Arial"/>
                <w:b w:val="false"/>
                <w:bCs w:val="false"/>
                <w:color w:val="FFFFFF" w:themeColor="background1"/>
                <w:szCs w:val="22"/>
                <w:lang w:eastAsia="en-GB"/>
              </w:rPr>
            </w:r>
          </w:p>
        </w:tc>
        <w:tc>
          <w:tcPr>
            <w:tcW w:w="2693" w:type="dxa"/>
            <w:tcBorders>
              <w:left w:val="nil"/>
              <w:bottom w:val="nil"/>
              <w:right w:val="nil"/>
            </w:tcBorders>
            <w:shd w:color="auto" w:fill="005EB8" w:themeFill="accent1" w:val="clear"/>
            <w:vAlign w:val="center"/>
          </w:tcPr>
          <w:p>
            <w:pPr>
              <w:pStyle w:val="Normal"/>
              <w:spacing w:before="120" w:after="120"/>
              <w:jc w:val="center"/>
              <w:cnfStyle w:val="100000000000" w:firstRow="1" w:lastRow="0" w:firstColumn="0" w:lastColumn="0" w:oddVBand="0" w:evenVBand="0" w:oddHBand="0" w:evenHBand="0" w:firstRowFirstColumn="0" w:firstRowLastColumn="0" w:lastRowFirstColumn="0" w:lastRowLastColumn="0"/>
              <w:rPr>
                <w:b w:val="false"/>
                <w:b w:val="false"/>
                <w:bCs w:val="false"/>
                <w:color w:val="FFFFFF" w:themeColor="background1"/>
              </w:rPr>
            </w:pPr>
            <w:r>
              <w:rPr>
                <w:rFonts w:eastAsia="ＭＳ Ｐゴシック" w:cs="Arial" w:cstheme="minorBidi" w:eastAsiaTheme="minorEastAsia"/>
                <w:b w:val="false"/>
                <w:bCs w:val="false"/>
                <w:color w:val="FFFFFF" w:themeColor="background1"/>
                <w:szCs w:val="22"/>
                <w:lang w:eastAsia="en-GB"/>
              </w:rPr>
              <w:t>FAQ</w:t>
            </w:r>
          </w:p>
        </w:tc>
        <w:tc>
          <w:tcPr>
            <w:tcW w:w="6663" w:type="dxa"/>
            <w:tcBorders>
              <w:left w:val="nil"/>
              <w:bottom w:val="nil"/>
            </w:tcBorders>
            <w:shd w:color="auto" w:fill="005EB8" w:themeFill="accent1" w:val="clear"/>
            <w:vAlign w:val="center"/>
          </w:tcPr>
          <w:p>
            <w:pPr>
              <w:pStyle w:val="Normal"/>
              <w:spacing w:before="120" w:after="120"/>
              <w:jc w:val="center"/>
              <w:cnfStyle w:val="100000000000" w:firstRow="1" w:lastRow="0" w:firstColumn="0" w:lastColumn="0" w:oddVBand="0" w:evenVBand="0" w:oddHBand="0" w:evenHBand="0" w:firstRowFirstColumn="0" w:firstRowLastColumn="0" w:lastRowFirstColumn="0" w:lastRowLastColumn="0"/>
              <w:rPr>
                <w:b w:val="false"/>
                <w:b w:val="false"/>
                <w:bCs w:val="false"/>
                <w:color w:val="FFFFFF" w:themeColor="background1"/>
              </w:rPr>
            </w:pPr>
            <w:r>
              <w:rPr>
                <w:rFonts w:eastAsia="ＭＳ Ｐゴシック" w:cs="Arial" w:cstheme="minorBidi" w:eastAsiaTheme="minorEastAsia"/>
                <w:b w:val="false"/>
                <w:bCs w:val="false"/>
                <w:color w:val="FFFFFF" w:themeColor="background1"/>
                <w:szCs w:val="22"/>
                <w:lang w:eastAsia="en-GB"/>
              </w:rPr>
              <w:t>Response</w:t>
            </w:r>
          </w:p>
        </w:tc>
      </w:tr>
      <w:tr>
        <w:trPr>
          <w:cantSplit w:val="true"/>
          <w:cnfStyle w:val="000000100000" w:firstRow="0" w:lastRow="0" w:firstColumn="0" w:lastColumn="0" w:oddVBand="0" w:evenVBand="0" w:oddHBand="1" w:evenHBand="0" w:firstRowFirstColumn="0" w:firstRowLastColumn="0" w:lastRowFirstColumn="0" w:lastRowLastColumn="0"/>
        </w:trPr>
        <w:tc>
          <w:tcPr>
            <w:tcW w:w="557"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numPr>
                <w:ilvl w:val="0"/>
                <w:numId w:val="18"/>
              </w:numPr>
              <w:spacing w:before="120" w:after="120"/>
              <w:jc w:val="center"/>
              <w:rPr>
                <w:b w:val="false"/>
                <w:b w:val="false"/>
                <w:bCs w:val="false"/>
              </w:rPr>
            </w:pPr>
            <w:r>
              <w:rPr>
                <w:rFonts w:eastAsia="ＭＳ Ｐゴシック" w:cs="Arial" w:cstheme="minorBidi" w:eastAsiaTheme="minorEastAsia"/>
                <w:b w:val="false"/>
                <w:bCs w:val="false"/>
                <w:szCs w:val="22"/>
                <w:lang w:eastAsia="en-GB"/>
              </w:rPr>
            </w:r>
          </w:p>
        </w:tc>
        <w:tc>
          <w:tcPr>
            <w:tcW w:w="2693" w:type="dxa"/>
            <w:tcBorders/>
            <w:vAlign w:val="center"/>
          </w:tcPr>
          <w:p>
            <w:pPr>
              <w:pStyle w:val="Normal"/>
              <w:spacing w:before="120" w:after="120"/>
              <w:cnfStyle w:val="000000100000" w:firstRow="0" w:lastRow="0" w:firstColumn="0" w:lastColumn="0" w:oddVBand="0" w:evenVBand="0" w:oddHBand="1"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Where can I find the business requirements?</w:t>
            </w:r>
          </w:p>
        </w:tc>
        <w:tc>
          <w:tcPr>
            <w:tcW w:w="6663" w:type="dxa"/>
            <w:tcBorders/>
            <w:vAlign w:val="cente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hyperlink r:id="rId61">
              <w:r>
                <w:rPr>
                  <w:rStyle w:val="InternetLink"/>
                  <w:rFonts w:eastAsia="ＭＳ Ｐゴシック" w:cs="Arial" w:cstheme="minorBidi" w:eastAsiaTheme="minorEastAsia"/>
                  <w:szCs w:val="22"/>
                  <w:lang w:eastAsia="en-GB"/>
                </w:rPr>
                <w:t>https://developer.nhs.uk/apis/ems-beta/</w:t>
              </w:r>
            </w:hyperlink>
            <w:r>
              <w:rPr>
                <w:rFonts w:eastAsia="ＭＳ Ｐゴシック" w:cs="Arial" w:cstheme="minorBidi" w:eastAsiaTheme="minorEastAsia"/>
                <w:szCs w:val="22"/>
                <w:lang w:eastAsia="en-GB"/>
              </w:rPr>
              <w:t xml:space="preserve"> </w:t>
            </w:r>
          </w:p>
        </w:tc>
      </w:tr>
      <w:tr>
        <w:trPr>
          <w:cantSplit w:val="true"/>
        </w:trPr>
        <w:tc>
          <w:tcPr>
            <w:tcW w:w="557"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vAlign w:val="center"/>
          </w:tcPr>
          <w:p>
            <w:pPr>
              <w:pStyle w:val="ListParagraph"/>
              <w:numPr>
                <w:ilvl w:val="0"/>
                <w:numId w:val="18"/>
              </w:numPr>
              <w:spacing w:before="120" w:after="120"/>
              <w:jc w:val="center"/>
              <w:rPr>
                <w:b w:val="false"/>
                <w:b w:val="false"/>
                <w:bCs w:val="false"/>
              </w:rPr>
            </w:pPr>
            <w:r>
              <w:rPr>
                <w:rFonts w:eastAsia="ＭＳ Ｐゴシック" w:cs="Arial" w:cstheme="minorBidi" w:eastAsiaTheme="minorEastAsia"/>
                <w:b w:val="false"/>
                <w:bCs w:val="false"/>
                <w:szCs w:val="22"/>
                <w:lang w:eastAsia="en-GB"/>
              </w:rPr>
            </w:r>
          </w:p>
        </w:tc>
        <w:tc>
          <w:tcPr>
            <w:tcW w:w="2693" w:type="dxa"/>
            <w:tcBorders>
              <w:top w:val="nil"/>
              <w:left w:val="nil"/>
              <w:bottom w:val="nil"/>
              <w:right w:val="nil"/>
            </w:tcBorders>
            <w:vAlign w:val="center"/>
          </w:tcPr>
          <w:p>
            <w:pPr>
              <w:pStyle w:val="Normal"/>
              <w:spacing w:before="120" w:after="120"/>
              <w:cnfStyle w:val="000000000000" w:firstRow="0" w:lastRow="0" w:firstColumn="0" w:lastColumn="0" w:oddVBand="0" w:evenVBand="0" w:oddHBand="0"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We have received an event and there are data quality issues, why won’t NHS Digital look at the content of an event when there are?</w:t>
            </w:r>
          </w:p>
        </w:tc>
        <w:tc>
          <w:tcPr>
            <w:tcW w:w="6663" w:type="dxa"/>
            <w:tcBorders>
              <w:top w:val="nil"/>
              <w:left w:val="nil"/>
              <w:bottom w:val="nil"/>
            </w:tcBorders>
            <w:vAlign w:val="center"/>
          </w:tcPr>
          <w:p>
            <w:pPr>
              <w:pStyle w:val="Normal"/>
              <w:spacing w:before="120" w:after="120"/>
              <w:cnfStyle w:val="000000000000" w:firstRow="0" w:lastRow="0" w:firstColumn="0" w:lastColumn="0" w:oddVBand="0" w:evenVBand="0" w:oddHBand="0"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NHS Digital does not have the authority to view the events, issues with content must be discussed with the publisher.</w:t>
            </w:r>
          </w:p>
        </w:tc>
      </w:tr>
      <w:tr>
        <w:trPr>
          <w:cantSplit w:val="true"/>
          <w:cnfStyle w:val="000000100000" w:firstRow="0" w:lastRow="0" w:firstColumn="0" w:lastColumn="0" w:oddVBand="0" w:evenVBand="0" w:oddHBand="1" w:evenHBand="0" w:firstRowFirstColumn="0" w:firstRowLastColumn="0" w:lastRowFirstColumn="0" w:lastRowLastColumn="0"/>
        </w:trPr>
        <w:tc>
          <w:tcPr>
            <w:tcW w:w="557"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numPr>
                <w:ilvl w:val="0"/>
                <w:numId w:val="18"/>
              </w:numPr>
              <w:spacing w:before="120" w:after="120"/>
              <w:jc w:val="center"/>
              <w:rPr>
                <w:b w:val="false"/>
                <w:b w:val="false"/>
                <w:bCs w:val="false"/>
              </w:rPr>
            </w:pPr>
            <w:r>
              <w:rPr>
                <w:rFonts w:eastAsia="ＭＳ Ｐゴシック" w:cs="Arial" w:cstheme="minorBidi" w:eastAsiaTheme="minorEastAsia"/>
                <w:b w:val="false"/>
                <w:bCs w:val="false"/>
                <w:szCs w:val="22"/>
                <w:lang w:eastAsia="en-GB"/>
              </w:rPr>
            </w:r>
          </w:p>
        </w:tc>
        <w:tc>
          <w:tcPr>
            <w:tcW w:w="2693" w:type="dxa"/>
            <w:tcBorders/>
            <w:vAlign w:val="center"/>
          </w:tcPr>
          <w:p>
            <w:pPr>
              <w:pStyle w:val="Normal"/>
              <w:spacing w:before="120" w:after="120"/>
              <w:cnfStyle w:val="000000100000" w:firstRow="0" w:lastRow="0" w:firstColumn="0" w:lastColumn="0" w:oddVBand="0" w:evenVBand="0" w:oddHBand="1"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Where can I see who is subscribing to which events?</w:t>
            </w:r>
          </w:p>
        </w:tc>
        <w:tc>
          <w:tcPr>
            <w:tcW w:w="6663" w:type="dxa"/>
            <w:tcBorders/>
            <w:vAlign w:val="center"/>
          </w:tcPr>
          <w:p>
            <w:pPr>
              <w:pStyle w:val="Normal"/>
              <w:spacing w:before="120" w:after="120"/>
              <w:cnfStyle w:val="000000100000" w:firstRow="0" w:lastRow="0" w:firstColumn="0" w:lastColumn="0" w:oddVBand="0" w:evenVBand="0" w:oddHBand="1"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The NEMS Data Controller Catalogue provides a current and forward view of NEMS publishers and subscribers.</w:t>
            </w:r>
          </w:p>
          <w:p>
            <w:pPr>
              <w:pStyle w:val="Normal"/>
              <w:spacing w:before="120" w:after="120"/>
              <w:cnfStyle w:val="000000100000" w:firstRow="0" w:lastRow="0" w:firstColumn="0" w:lastColumn="0" w:oddVBand="0" w:evenVBand="0" w:oddHBand="1"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The purpose of the controller catalogue is to document the system suppliers and health and social care organisations authorised to share information as events using the National Events Management Service (NEMS).</w:t>
            </w:r>
          </w:p>
          <w:p>
            <w:pPr>
              <w:pStyle w:val="Normal"/>
              <w:spacing w:before="120" w:after="120"/>
              <w:cnfStyle w:val="000000100000" w:firstRow="0" w:lastRow="0" w:firstColumn="0" w:lastColumn="0" w:oddVBand="0" w:evenVBand="0" w:oddHBand="1"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Any requests to share information via NHS Digital services, the source and consumer of that information, are reviewed by the Interoperability Working Group and a recommendation provided by the group as to the appropriate sharing pattern(s) and sharing capability(ies) which meet end user needs.</w:t>
            </w:r>
          </w:p>
          <w:p>
            <w:pPr>
              <w:pStyle w:val="Normal"/>
              <w:spacing w:before="120" w:after="120"/>
              <w:cnfStyle w:val="000000100000" w:firstRow="0" w:lastRow="0" w:firstColumn="0" w:lastColumn="0" w:oddVBand="0" w:evenVBand="0" w:oddHBand="1" w:evenHBand="0" w:firstRowFirstColumn="0" w:firstRowLastColumn="0" w:lastRowFirstColumn="0" w:lastRowLastColumn="0"/>
              <w:rPr/>
            </w:pPr>
            <w:hyperlink r:id="rId62">
              <w:r>
                <w:rPr>
                  <w:rStyle w:val="InternetLink"/>
                  <w:rFonts w:eastAsia="ＭＳ Ｐゴシック" w:cs="Arial" w:cstheme="minorBidi" w:eastAsiaTheme="minorEastAsia"/>
                  <w:szCs w:val="22"/>
                  <w:lang w:eastAsia="en-GB"/>
                </w:rPr>
                <w:t>https://developer.nhs.uk/apis/ems-beta/controller_catalogue.html</w:t>
              </w:r>
            </w:hyperlink>
            <w:r>
              <w:rPr>
                <w:rFonts w:eastAsia="ＭＳ Ｐゴシック" w:cs="Arial" w:cstheme="minorBidi" w:eastAsiaTheme="minorEastAsia"/>
                <w:szCs w:val="22"/>
                <w:lang w:eastAsia="en-GB"/>
              </w:rPr>
              <w:t xml:space="preserve"> </w:t>
            </w:r>
          </w:p>
        </w:tc>
      </w:tr>
      <w:tr>
        <w:trPr>
          <w:cantSplit w:val="true"/>
        </w:trPr>
        <w:tc>
          <w:tcPr>
            <w:tcW w:w="557"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vAlign w:val="center"/>
          </w:tcPr>
          <w:p>
            <w:pPr>
              <w:pStyle w:val="ListParagraph"/>
              <w:numPr>
                <w:ilvl w:val="0"/>
                <w:numId w:val="18"/>
              </w:numPr>
              <w:spacing w:before="120" w:after="120"/>
              <w:jc w:val="center"/>
              <w:rPr>
                <w:b w:val="false"/>
                <w:b w:val="false"/>
                <w:bCs w:val="false"/>
              </w:rPr>
            </w:pPr>
            <w:r>
              <w:rPr>
                <w:rFonts w:eastAsia="ＭＳ Ｐゴシック" w:cs="Arial" w:cstheme="minorBidi" w:eastAsiaTheme="minorEastAsia"/>
                <w:b w:val="false"/>
                <w:bCs w:val="false"/>
                <w:szCs w:val="22"/>
                <w:lang w:eastAsia="en-GB"/>
              </w:rPr>
            </w:r>
          </w:p>
        </w:tc>
        <w:tc>
          <w:tcPr>
            <w:tcW w:w="2693" w:type="dxa"/>
            <w:tcBorders>
              <w:top w:val="nil"/>
              <w:left w:val="nil"/>
              <w:bottom w:val="nil"/>
              <w:right w:val="nil"/>
            </w:tcBorders>
            <w:vAlign w:val="center"/>
          </w:tcPr>
          <w:p>
            <w:pPr>
              <w:pStyle w:val="Normal"/>
              <w:spacing w:before="120" w:after="120"/>
              <w:cnfStyle w:val="000000000000" w:firstRow="0" w:lastRow="0" w:firstColumn="0" w:lastColumn="0" w:oddVBand="0" w:evenVBand="0" w:oddHBand="0"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Why do we have to complete the SCAL for each new event?</w:t>
            </w:r>
          </w:p>
        </w:tc>
        <w:tc>
          <w:tcPr>
            <w:tcW w:w="6663" w:type="dxa"/>
            <w:tcBorders>
              <w:top w:val="nil"/>
              <w:left w:val="nil"/>
              <w:bottom w:val="nil"/>
            </w:tcBorders>
            <w:vAlign w:val="center"/>
          </w:tcPr>
          <w:p>
            <w:pPr>
              <w:pStyle w:val="Normal"/>
              <w:spacing w:before="120" w:after="120"/>
              <w:cnfStyle w:val="000000000000" w:firstRow="0" w:lastRow="0" w:firstColumn="0" w:lastColumn="0" w:oddVBand="0" w:evenVBand="0" w:oddHBand="0"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Each new event requires a retest of some (not all) of the requirements.  Additionally, as each new event carries new data it is important to test that events are managed in the expected way.</w:t>
            </w:r>
          </w:p>
        </w:tc>
      </w:tr>
      <w:tr>
        <w:trPr>
          <w:cantSplit w:val="true"/>
          <w:cnfStyle w:val="000000100000" w:firstRow="0" w:lastRow="0" w:firstColumn="0" w:lastColumn="0" w:oddVBand="0" w:evenVBand="0" w:oddHBand="1" w:evenHBand="0" w:firstRowFirstColumn="0" w:firstRowLastColumn="0" w:lastRowFirstColumn="0" w:lastRowLastColumn="0"/>
        </w:trPr>
        <w:tc>
          <w:tcPr>
            <w:tcW w:w="557" w:type="dxa"/>
            <w:cnfStyle w:val="001000000000" w:firstRow="0" w:lastRow="0" w:firstColumn="1" w:lastColumn="0" w:oddVBand="0" w:evenVBand="0" w:oddHBand="0" w:evenHBand="0" w:firstRowFirstColumn="0" w:firstRowLastColumn="0" w:lastRowFirstColumn="0" w:lastRowLastColumn="0"/>
            <w:tcBorders/>
            <w:vAlign w:val="center"/>
          </w:tcPr>
          <w:p>
            <w:pPr>
              <w:pStyle w:val="ListParagraph"/>
              <w:numPr>
                <w:ilvl w:val="0"/>
                <w:numId w:val="18"/>
              </w:numPr>
              <w:spacing w:before="120" w:after="120"/>
              <w:jc w:val="center"/>
              <w:rPr>
                <w:b w:val="false"/>
                <w:b w:val="false"/>
                <w:bCs w:val="false"/>
              </w:rPr>
            </w:pPr>
            <w:r>
              <w:rPr>
                <w:rFonts w:eastAsia="ＭＳ Ｐゴシック" w:cs="Arial" w:cstheme="minorBidi" w:eastAsiaTheme="minorEastAsia"/>
                <w:b w:val="false"/>
                <w:bCs w:val="false"/>
                <w:szCs w:val="22"/>
                <w:lang w:eastAsia="en-GB"/>
              </w:rPr>
            </w:r>
          </w:p>
        </w:tc>
        <w:tc>
          <w:tcPr>
            <w:tcW w:w="2693" w:type="dxa"/>
            <w:tcBorders/>
            <w:vAlign w:val="center"/>
          </w:tcPr>
          <w:p>
            <w:pPr>
              <w:pStyle w:val="Normal"/>
              <w:spacing w:before="120" w:after="120"/>
              <w:cnfStyle w:val="000000100000" w:firstRow="0" w:lastRow="0" w:firstColumn="0" w:lastColumn="0" w:oddVBand="0" w:evenVBand="0" w:oddHBand="1"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Why is PDS compliancy required to be able to publish or subscribe to NEMS?</w:t>
            </w:r>
          </w:p>
        </w:tc>
        <w:tc>
          <w:tcPr>
            <w:tcW w:w="6663" w:type="dxa"/>
            <w:tcBorders/>
            <w:vAlign w:val="center"/>
          </w:tcPr>
          <w:p>
            <w:pPr>
              <w:pStyle w:val="Normal"/>
              <w:spacing w:before="120" w:after="120"/>
              <w:cnfStyle w:val="000000100000" w:firstRow="0" w:lastRow="0" w:firstColumn="0" w:lastColumn="0" w:oddVBand="0" w:evenVBand="0" w:oddHBand="1"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To validate and verify that subscriptions are correct, and events are correctly published.</w:t>
            </w:r>
          </w:p>
        </w:tc>
      </w:tr>
      <w:tr>
        <w:trPr>
          <w:cantSplit w:val="true"/>
        </w:trPr>
        <w:tc>
          <w:tcPr>
            <w:tcW w:w="557" w:type="dxa"/>
            <w:cnfStyle w:val="001000000000" w:firstRow="0" w:lastRow="0" w:firstColumn="1" w:lastColumn="0" w:oddVBand="0" w:evenVBand="0" w:oddHBand="0" w:evenHBand="0" w:firstRowFirstColumn="0" w:firstRowLastColumn="0" w:lastRowFirstColumn="0" w:lastRowLastColumn="0"/>
            <w:tcBorders>
              <w:top w:val="nil"/>
              <w:right w:val="nil"/>
            </w:tcBorders>
            <w:vAlign w:val="center"/>
          </w:tcPr>
          <w:p>
            <w:pPr>
              <w:pStyle w:val="ListParagraph"/>
              <w:numPr>
                <w:ilvl w:val="0"/>
                <w:numId w:val="18"/>
              </w:numPr>
              <w:spacing w:before="120" w:after="120"/>
              <w:jc w:val="center"/>
              <w:rPr>
                <w:b w:val="false"/>
                <w:b w:val="false"/>
                <w:bCs w:val="false"/>
              </w:rPr>
            </w:pPr>
            <w:r>
              <w:rPr>
                <w:rFonts w:eastAsia="ＭＳ Ｐゴシック" w:cs="Arial" w:cstheme="minorBidi" w:eastAsiaTheme="minorEastAsia"/>
                <w:b w:val="false"/>
                <w:bCs w:val="false"/>
                <w:szCs w:val="22"/>
                <w:lang w:eastAsia="en-GB"/>
              </w:rPr>
            </w:r>
          </w:p>
        </w:tc>
        <w:tc>
          <w:tcPr>
            <w:tcW w:w="2693" w:type="dxa"/>
            <w:tcBorders>
              <w:top w:val="nil"/>
              <w:left w:val="nil"/>
              <w:right w:val="nil"/>
            </w:tcBorders>
            <w:vAlign w:val="center"/>
          </w:tcPr>
          <w:p>
            <w:pPr>
              <w:pStyle w:val="Normal"/>
              <w:spacing w:before="120" w:after="120"/>
              <w:cnfStyle w:val="000000000000" w:firstRow="0" w:lastRow="0" w:firstColumn="0" w:lastColumn="0" w:oddVBand="0" w:evenVBand="0" w:oddHBand="0"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Can NEMS be used in conjunction with the National Record Locator?</w:t>
            </w:r>
          </w:p>
        </w:tc>
        <w:tc>
          <w:tcPr>
            <w:tcW w:w="6663" w:type="dxa"/>
            <w:tcBorders>
              <w:top w:val="nil"/>
              <w:left w:val="nil"/>
            </w:tcBorders>
            <w:vAlign w:val="center"/>
          </w:tcPr>
          <w:p>
            <w:pPr>
              <w:pStyle w:val="Normal"/>
              <w:spacing w:before="120" w:after="120"/>
              <w:cnfStyle w:val="000000000000" w:firstRow="0" w:lastRow="0" w:firstColumn="0" w:lastColumn="0" w:oddVBand="0" w:evenVBand="0" w:oddHBand="0" w:evenHBand="0" w:firstRowFirstColumn="0" w:firstRowLastColumn="0" w:lastRowFirstColumn="0" w:lastRowLastColumn="0"/>
              <w:rPr>
                <w:rFonts w:ascii="Arial" w:hAnsi="Arial" w:eastAsia="ＭＳ Ｐゴシック" w:cs="Arial" w:asciiTheme="minorHAnsi" w:cstheme="minorBidi" w:eastAsiaTheme="minorEastAsia" w:hAnsiTheme="minorHAnsi"/>
                <w:szCs w:val="22"/>
                <w:lang w:eastAsia="en-GB"/>
              </w:rPr>
            </w:pPr>
            <w:r>
              <w:rPr>
                <w:rFonts w:eastAsia="ＭＳ Ｐゴシック" w:cs="Arial" w:cstheme="minorBidi" w:eastAsiaTheme="minorEastAsia"/>
                <w:szCs w:val="22"/>
                <w:lang w:eastAsia="en-GB"/>
              </w:rPr>
              <w:t>Yes it can where this meets the business needs.</w:t>
            </w:r>
          </w:p>
        </w:tc>
      </w:tr>
    </w:tbl>
    <w:p>
      <w:pPr>
        <w:pStyle w:val="Normal"/>
        <w:rPr/>
      </w:pPr>
      <w:r>
        <w:rPr/>
      </w:r>
    </w:p>
    <w:p>
      <w:pPr>
        <w:pStyle w:val="Normal"/>
        <w:spacing w:before="0" w:after="0"/>
        <w:rPr/>
      </w:pPr>
      <w:r>
        <w:rPr/>
      </w:r>
    </w:p>
    <w:p>
      <w:pPr>
        <w:pStyle w:val="Normal"/>
        <w:spacing w:before="0" w:after="0"/>
        <w:rPr/>
      </w:pPr>
      <w:r>
        <w:rPr/>
      </w:r>
    </w:p>
    <w:p>
      <w:pPr>
        <w:pStyle w:val="Normal"/>
        <w:spacing w:before="0" w:after="0"/>
        <w:rPr/>
      </w:pPr>
      <w:r>
        <w:rPr/>
      </w:r>
    </w:p>
    <w:sectPr>
      <w:headerReference w:type="default" r:id="rId63"/>
      <w:footerReference w:type="default" r:id="rId64"/>
      <w:footnotePr>
        <w:numFmt w:val="decimal"/>
      </w:footnotePr>
      <w:type w:val="continuous"/>
      <w:pgSz w:w="11906" w:h="16838"/>
      <w:pgMar w:left="1021" w:right="1021" w:header="454" w:top="1021" w:footer="557" w:bottom="102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1"/>
    <w:family w:val="swiss"/>
    <w:pitch w:val="default"/>
  </w:font>
  <w:font w:name="Arial">
    <w:charset w:val="01"/>
    <w:family w:val="swiss"/>
    <w:pitch w:val="default"/>
  </w:font>
  <w:font w:name="Tahoma">
    <w:charset w:val="01"/>
    <w:family w:val="swiss"/>
    <w:pitch w:val="default"/>
  </w:font>
  <w:font w:name="Liberation Sans">
    <w:altName w:val="Arial"/>
    <w:charset w:val="00"/>
    <w:family w:val="swiss"/>
    <w:pitch w:val="variable"/>
  </w:font>
  <w:font w:name="Frutiger LT Std 45 Light">
    <w:charset w:val="01"/>
    <w:family w:val="swiss"/>
    <w:pitch w:val="default"/>
  </w:font>
  <w:font w:name="Calibri">
    <w:charset w:val="01"/>
    <w:family w:val="swiss"/>
    <w:pitch w:val="default"/>
  </w:font>
  <w:font w:name="Wingdings">
    <w:charset w:val="01"/>
    <w:family w:val="swiss"/>
    <w:pitch w:val="default"/>
  </w:font>
  <w:font w:name="Segoe UI Emoji">
    <w:charset w:val="01"/>
    <w:family w:val="swiss"/>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drawing>
        <wp:anchor behindDoc="1" distT="0" distB="0" distL="114300" distR="114300" simplePos="0" locked="0" layoutInCell="1" allowOverlap="1" relativeHeight="5">
          <wp:simplePos x="0" y="0"/>
          <wp:positionH relativeFrom="page">
            <wp:posOffset>612140</wp:posOffset>
          </wp:positionH>
          <wp:positionV relativeFrom="page">
            <wp:posOffset>9072880</wp:posOffset>
          </wp:positionV>
          <wp:extent cx="3239770" cy="629920"/>
          <wp:effectExtent l="0" t="0" r="0" b="0"/>
          <wp:wrapSquare wrapText="bothSides"/>
          <wp:docPr id="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pic:cNvPicPr>
                    <a:picLocks noChangeAspect="1" noChangeArrowheads="1"/>
                  </pic:cNvPicPr>
                </pic:nvPicPr>
                <pic:blipFill>
                  <a:blip r:embed="rId1"/>
                  <a:stretch>
                    <a:fillRect/>
                  </a:stretch>
                </pic:blipFill>
                <pic:spPr bwMode="auto">
                  <a:xfrm>
                    <a:off x="0" y="0"/>
                    <a:ext cx="3239770" cy="629920"/>
                  </a:xfrm>
                  <a:prstGeom prst="rect">
                    <a:avLst/>
                  </a:prstGeom>
                </pic:spPr>
              </pic:pic>
            </a:graphicData>
          </a:graphic>
        </wp:anchor>
      </w:drawing>
    </w:r>
    <w:r>
      <w:rPr/>
      <w:t xml:space="preserve"> </w:t>
    </w:r>
    <w:r>
      <w:rPr/>
      <w:t>Copyright © 2020 NHS Digital</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62302865"/>
    </w:sdtPr>
    <w:sdtContent>
      <w:p>
        <w:pPr>
          <w:pStyle w:val="Footer"/>
          <w:jc w:val="right"/>
          <w:rPr>
            <w:sz w:val="16"/>
            <w:szCs w:val="22"/>
          </w:rPr>
        </w:pPr>
        <w:r>
          <w:rPr>
            <w:sz w:val="16"/>
            <w:szCs w:val="22"/>
          </w:rPr>
          <w:t xml:space="preserve">Page </w:t>
        </w:r>
        <w:r>
          <w:rPr>
            <w:b/>
            <w:bCs/>
            <w:sz w:val="22"/>
            <w:szCs w:val="22"/>
          </w:rPr>
          <w:fldChar w:fldCharType="begin"/>
        </w:r>
        <w:r>
          <w:rPr>
            <w:sz w:val="22"/>
            <w:b/>
            <w:szCs w:val="22"/>
            <w:bCs/>
          </w:rPr>
          <w:instrText> PAGE </w:instrText>
        </w:r>
        <w:r>
          <w:rPr>
            <w:sz w:val="22"/>
            <w:b/>
            <w:szCs w:val="22"/>
            <w:bCs/>
          </w:rPr>
          <w:fldChar w:fldCharType="separate"/>
        </w:r>
        <w:r>
          <w:rPr>
            <w:sz w:val="22"/>
            <w:b/>
            <w:szCs w:val="22"/>
            <w:bCs/>
          </w:rPr>
          <w:t>39</w:t>
        </w:r>
        <w:r>
          <w:rPr>
            <w:sz w:val="22"/>
            <w:b/>
            <w:szCs w:val="22"/>
            <w:bCs/>
          </w:rPr>
          <w:fldChar w:fldCharType="end"/>
        </w:r>
        <w:r>
          <w:rPr>
            <w:sz w:val="16"/>
            <w:szCs w:val="22"/>
          </w:rPr>
          <w:t xml:space="preserve"> of </w:t>
        </w:r>
        <w:r>
          <w:rPr>
            <w:b/>
            <w:bCs/>
            <w:sz w:val="22"/>
            <w:szCs w:val="22"/>
          </w:rPr>
          <w:fldChar w:fldCharType="begin"/>
        </w:r>
        <w:r>
          <w:rPr>
            <w:sz w:val="22"/>
            <w:b/>
            <w:szCs w:val="22"/>
            <w:bCs/>
          </w:rPr>
          <w:instrText> NUMPAGES </w:instrText>
        </w:r>
        <w:r>
          <w:rPr>
            <w:sz w:val="22"/>
            <w:b/>
            <w:szCs w:val="22"/>
            <w:bCs/>
          </w:rPr>
          <w:fldChar w:fldCharType="separate"/>
        </w:r>
        <w:r>
          <w:rPr>
            <w:sz w:val="22"/>
            <w:b/>
            <w:szCs w:val="22"/>
            <w:bCs/>
          </w:rPr>
          <w:t>39</w:t>
        </w:r>
        <w:r>
          <w:rPr>
            <w:sz w:val="22"/>
            <w:b/>
            <w:szCs w:val="22"/>
            <w:bCs/>
          </w:rPr>
          <w:fldChar w:fldCharType="end"/>
        </w:r>
      </w:p>
    </w:sdtContent>
  </w:sdt>
  <w:p>
    <w:pPr>
      <w:pStyle w:val="Footer"/>
      <w:rPr>
        <w:sz w:val="16"/>
        <w:szCs w:val="22"/>
      </w:rPr>
    </w:pPr>
    <w:r>
      <w:rPr>
        <w:sz w:val="16"/>
        <w:szCs w:val="22"/>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56341982"/>
    </w:sdtPr>
    <w:sdtContent>
      <w:p>
        <w:pPr>
          <w:pStyle w:val="Footer"/>
          <w:jc w:val="right"/>
          <w:rPr>
            <w:sz w:val="16"/>
            <w:szCs w:val="22"/>
          </w:rPr>
        </w:pPr>
        <w:r>
          <w:rPr>
            <w:sz w:val="16"/>
            <w:szCs w:val="22"/>
          </w:rPr>
          <w:t xml:space="preserve">Page </w:t>
        </w:r>
        <w:r>
          <w:rPr>
            <w:b/>
            <w:bCs/>
            <w:sz w:val="22"/>
            <w:szCs w:val="22"/>
          </w:rPr>
          <w:fldChar w:fldCharType="begin"/>
        </w:r>
        <w:r>
          <w:rPr>
            <w:sz w:val="22"/>
            <w:b/>
            <w:szCs w:val="22"/>
            <w:bCs/>
          </w:rPr>
          <w:instrText> PAGE </w:instrText>
        </w:r>
        <w:r>
          <w:rPr>
            <w:sz w:val="22"/>
            <w:b/>
            <w:szCs w:val="22"/>
            <w:bCs/>
          </w:rPr>
          <w:fldChar w:fldCharType="separate"/>
        </w:r>
        <w:r>
          <w:rPr>
            <w:sz w:val="22"/>
            <w:b/>
            <w:szCs w:val="22"/>
            <w:bCs/>
          </w:rPr>
          <w:t>39</w:t>
        </w:r>
        <w:r>
          <w:rPr>
            <w:sz w:val="22"/>
            <w:b/>
            <w:szCs w:val="22"/>
            <w:bCs/>
          </w:rPr>
          <w:fldChar w:fldCharType="end"/>
        </w:r>
        <w:r>
          <w:rPr>
            <w:sz w:val="16"/>
            <w:szCs w:val="22"/>
          </w:rPr>
          <w:t xml:space="preserve"> of </w:t>
        </w:r>
        <w:r>
          <w:rPr>
            <w:b/>
            <w:bCs/>
            <w:sz w:val="22"/>
            <w:szCs w:val="22"/>
          </w:rPr>
          <w:fldChar w:fldCharType="begin"/>
        </w:r>
        <w:r>
          <w:rPr>
            <w:sz w:val="22"/>
            <w:b/>
            <w:szCs w:val="22"/>
            <w:bCs/>
          </w:rPr>
          <w:instrText> NUMPAGES </w:instrText>
        </w:r>
        <w:r>
          <w:rPr>
            <w:sz w:val="22"/>
            <w:b/>
            <w:szCs w:val="22"/>
            <w:bCs/>
          </w:rPr>
          <w:fldChar w:fldCharType="separate"/>
        </w:r>
        <w:r>
          <w:rPr>
            <w:sz w:val="22"/>
            <w:b/>
            <w:szCs w:val="22"/>
            <w:bCs/>
          </w:rPr>
          <w:t>39</w:t>
        </w:r>
        <w:r>
          <w:rPr>
            <w:sz w:val="22"/>
            <w:b/>
            <w:szCs w:val="22"/>
            <w:bCs/>
          </w:rPr>
          <w:fldChar w:fldCharType="end"/>
        </w:r>
      </w:p>
    </w:sdtContent>
  </w:sdt>
  <w:p>
    <w:pPr>
      <w:pStyle w:val="Footer"/>
      <w:rPr>
        <w:sz w:val="16"/>
        <w:szCs w:val="22"/>
      </w:rPr>
    </w:pPr>
    <w:r>
      <w:rPr>
        <w:sz w:val="16"/>
        <w:szCs w:val="22"/>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sz w:val="16"/>
          <w:szCs w:val="16"/>
        </w:rPr>
        <w:t xml:space="preserve"> </w:t>
      </w:r>
      <w:r>
        <w:rPr>
          <w:sz w:val="16"/>
          <w:szCs w:val="16"/>
        </w:rPr>
        <w:t>https://digital.nhs.uk/about-nhs-digital/corporate-information-and-documents/directions-and-data-provision-notices/secretary-of-state-directions/establishment-of-systems-digital-interoperability-platform-2019#purpose</w:t>
      </w:r>
    </w:p>
  </w:footnote>
  <w:footnote w:id="3">
    <w:p>
      <w:pPr>
        <w:pStyle w:val="Footnote"/>
        <w:spacing w:before="120" w:after="120"/>
        <w:rPr>
          <w:sz w:val="16"/>
          <w:szCs w:val="16"/>
        </w:rPr>
      </w:pPr>
      <w:r>
        <w:rPr>
          <w:rStyle w:val="FootnoteCharacters"/>
        </w:rPr>
        <w:footnoteRef/>
      </w:r>
      <w:r>
        <w:rPr/>
        <w:t xml:space="preserve"> </w:t>
      </w:r>
      <w:r>
        <w:rPr>
          <w:sz w:val="16"/>
          <w:szCs w:val="16"/>
        </w:rPr>
        <w:t>A clinical, social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high quality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(Source:  https://www.gov.uk/government/publications/the-information-governance-review)</w:t>
      </w:r>
    </w:p>
  </w:footnote>
  <w:footnote w:id="4">
    <w:p>
      <w:pPr>
        <w:pStyle w:val="Footnote"/>
        <w:rPr/>
      </w:pPr>
      <w:r>
        <w:rPr>
          <w:rStyle w:val="FootnoteCharacters"/>
        </w:rPr>
        <w:footnoteRef/>
      </w:r>
      <w:r>
        <w:rPr/>
        <w:t xml:space="preserve"> </w:t>
      </w:r>
      <w:hyperlink r:id="rId1">
        <w:r>
          <w:rPr>
            <w:rStyle w:val="InternetLink"/>
          </w:rPr>
          <w:t>https://developer.nhs.uk/</w:t>
        </w:r>
      </w:hyperlink>
      <w:r>
        <w:rPr/>
        <w:t xml:space="preserve"> </w:t>
      </w:r>
    </w:p>
  </w:footnote>
  <w:footnote w:id="5">
    <w:p>
      <w:pPr>
        <w:pStyle w:val="Footnote"/>
        <w:rPr/>
      </w:pPr>
      <w:r>
        <w:rPr>
          <w:rStyle w:val="FootnoteCharacters"/>
        </w:rPr>
        <w:footnoteRef/>
      </w:r>
      <w:r>
        <w:rPr/>
        <w:t xml:space="preserve"> </w:t>
      </w:r>
      <w:r>
        <w:rPr/>
        <w:t>An organisation which has completed the NHS Digital Interoperability Working Group and a recommendation that the use of NEMS best meets the user needs.</w:t>
      </w:r>
    </w:p>
  </w:footnote>
  <w:footnote w:id="6">
    <w:p>
      <w:pPr>
        <w:pStyle w:val="Footnote"/>
        <w:rPr/>
      </w:pPr>
      <w:r>
        <w:rPr>
          <w:rStyle w:val="FootnoteCharacters"/>
        </w:rPr>
        <w:footnoteRef/>
      </w:r>
      <w:r>
        <w:rPr/>
        <w:t xml:space="preserve"> </w:t>
      </w:r>
      <w:r>
        <w:rPr/>
        <w:t>The term information flow is used to delineate between the initial request to share information and the IWG’s recommended architectural pattern e.g. event (and there NEMS) or record pointer (and therefore the National Record Locator (NRL))</w:t>
      </w:r>
    </w:p>
  </w:footnote>
  <w:footnote w:id="7">
    <w:p>
      <w:pPr>
        <w:pStyle w:val="Footnote"/>
        <w:rPr/>
      </w:pPr>
      <w:r>
        <w:rPr>
          <w:rStyle w:val="FootnoteCharacters"/>
        </w:rPr>
        <w:footnoteRef/>
      </w:r>
      <w:r>
        <w:rPr/>
        <w:t xml:space="preserve"> </w:t>
      </w:r>
      <w:r>
        <w:rPr/>
        <w:t>Agreed period of stability</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140"/>
      <w:jc w:val="left"/>
      <w:rPr/>
    </w:pPr>
    <w:r>
      <w:rPr/>
      <mc:AlternateContent>
        <mc:Choice Requires="wps">
          <w:drawing>
            <wp:anchor behindDoc="1" distT="0" distB="0" distL="0" distR="0" simplePos="0" locked="0" layoutInCell="1" allowOverlap="1" relativeHeight="6" wp14:anchorId="36B2A090">
              <wp:simplePos x="0" y="0"/>
              <wp:positionH relativeFrom="page">
                <wp:posOffset>0</wp:posOffset>
              </wp:positionH>
              <wp:positionV relativeFrom="page">
                <wp:posOffset>3564255</wp:posOffset>
              </wp:positionV>
              <wp:extent cx="7560945" cy="2916555"/>
              <wp:effectExtent l="0" t="0" r="3175" b="0"/>
              <wp:wrapNone/>
              <wp:docPr id="5" name="Rectangle 1"/>
              <a:graphic xmlns:a="http://schemas.openxmlformats.org/drawingml/2006/main">
                <a:graphicData uri="http://schemas.microsoft.com/office/word/2010/wordprocessingShape">
                  <wps:wsp>
                    <wps:cNvSpPr/>
                    <wps:spPr>
                      <a:xfrm>
                        <a:off x="0" y="0"/>
                        <a:ext cx="756036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 fillcolor="#f2f2f2" stroked="f" style="position:absolute;margin-left:0pt;margin-top:280.65pt;width:595.25pt;height:229.55pt;mso-position-horizontal-relative:page;mso-position-vertical-relative:page" wp14:anchorId="36B2A090">
              <w10:wrap type="none"/>
              <v:fill o:detectmouseclick="t" type="solid" color2="#0d0d0d"/>
              <v:stroke color="#3465a4" weight="25560" joinstyle="round" endcap="flat"/>
            </v:rect>
          </w:pict>
        </mc:Fallback>
      </mc:AlternateContent>
      <w:drawing>
        <wp:anchor behindDoc="0" distT="0" distB="0" distL="114300" distR="114300" simplePos="0" locked="0" layoutInCell="1" allowOverlap="1" relativeHeight="3">
          <wp:simplePos x="0" y="0"/>
          <wp:positionH relativeFrom="page">
            <wp:posOffset>5922645</wp:posOffset>
          </wp:positionH>
          <wp:positionV relativeFrom="page">
            <wp:posOffset>215900</wp:posOffset>
          </wp:positionV>
          <wp:extent cx="1198880" cy="950595"/>
          <wp:effectExtent l="0" t="0" r="0" b="0"/>
          <wp:wrapTight wrapText="bothSides">
            <wp:wrapPolygon edited="0">
              <wp:start x="-30" y="0"/>
              <wp:lineTo x="-30" y="21196"/>
              <wp:lineTo x="21289" y="21196"/>
              <wp:lineTo x="21289" y="0"/>
              <wp:lineTo x="-30" y="0"/>
            </wp:wrapPolygon>
          </wp:wrapTight>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1"/>
                  <a:stretch>
                    <a:fillRect/>
                  </a:stretch>
                </pic:blipFill>
                <pic:spPr bwMode="auto">
                  <a:xfrm>
                    <a:off x="0" y="0"/>
                    <a:ext cx="1198880" cy="95059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National Event Management Service (NEMS) Onboarding Guide</w:t>
        </w:r>
      </w:sdtContent>
    </w:sdt>
    <w:r>
      <w:rPr/>
      <w:tab/>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National Event Management Service (NEMS) Onboarding Guide</w:t>
        </w:r>
      </w:sdtContent>
    </w:sdt>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718"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rPr>
        <w:rFonts w:eastAsia="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ind w:left="789" w:hanging="360"/>
      </w:pPr>
      <w:rPr>
        <w:rFonts w:ascii="Symbol" w:hAnsi="Symbol" w:cs="Symbol" w:hint="default"/>
      </w:rPr>
    </w:lvl>
    <w:lvl w:ilvl="1">
      <w:start w:val="1"/>
      <w:numFmt w:val="bullet"/>
      <w:lvlText w:val="o"/>
      <w:lvlJc w:val="left"/>
      <w:pPr>
        <w:ind w:left="1509" w:hanging="360"/>
      </w:pPr>
      <w:rPr>
        <w:rFonts w:ascii="Courier New" w:hAnsi="Courier New" w:cs="Courier New" w:hint="default"/>
        <w:rFonts w:cs="Courier New"/>
      </w:rPr>
    </w:lvl>
    <w:lvl w:ilvl="2">
      <w:start w:val="1"/>
      <w:numFmt w:val="bullet"/>
      <w:lvlText w:val=""/>
      <w:lvlJc w:val="left"/>
      <w:pPr>
        <w:ind w:left="2229" w:hanging="360"/>
      </w:pPr>
      <w:rPr>
        <w:rFonts w:ascii="Wingdings" w:hAnsi="Wingdings" w:cs="Wingdings" w:hint="default"/>
      </w:rPr>
    </w:lvl>
    <w:lvl w:ilvl="3">
      <w:start w:val="1"/>
      <w:numFmt w:val="bullet"/>
      <w:lvlText w:val=""/>
      <w:lvlJc w:val="left"/>
      <w:pPr>
        <w:ind w:left="2949" w:hanging="360"/>
      </w:pPr>
      <w:rPr>
        <w:rFonts w:ascii="Symbol" w:hAnsi="Symbol" w:cs="Symbol" w:hint="default"/>
      </w:rPr>
    </w:lvl>
    <w:lvl w:ilvl="4">
      <w:start w:val="1"/>
      <w:numFmt w:val="bullet"/>
      <w:lvlText w:val="o"/>
      <w:lvlJc w:val="left"/>
      <w:pPr>
        <w:ind w:left="3669" w:hanging="360"/>
      </w:pPr>
      <w:rPr>
        <w:rFonts w:ascii="Courier New" w:hAnsi="Courier New" w:cs="Courier New" w:hint="default"/>
        <w:rFonts w:cs="Courier New"/>
      </w:rPr>
    </w:lvl>
    <w:lvl w:ilvl="5">
      <w:start w:val="1"/>
      <w:numFmt w:val="bullet"/>
      <w:lvlText w:val=""/>
      <w:lvlJc w:val="left"/>
      <w:pPr>
        <w:ind w:left="4389" w:hanging="360"/>
      </w:pPr>
      <w:rPr>
        <w:rFonts w:ascii="Wingdings" w:hAnsi="Wingdings" w:cs="Wingdings" w:hint="default"/>
      </w:rPr>
    </w:lvl>
    <w:lvl w:ilvl="6">
      <w:start w:val="1"/>
      <w:numFmt w:val="bullet"/>
      <w:lvlText w:val=""/>
      <w:lvlJc w:val="left"/>
      <w:pPr>
        <w:ind w:left="5109" w:hanging="360"/>
      </w:pPr>
      <w:rPr>
        <w:rFonts w:ascii="Symbol" w:hAnsi="Symbol" w:cs="Symbol" w:hint="default"/>
      </w:rPr>
    </w:lvl>
    <w:lvl w:ilvl="7">
      <w:start w:val="1"/>
      <w:numFmt w:val="bullet"/>
      <w:lvlText w:val="o"/>
      <w:lvlJc w:val="left"/>
      <w:pPr>
        <w:ind w:left="5829" w:hanging="360"/>
      </w:pPr>
      <w:rPr>
        <w:rFonts w:ascii="Courier New" w:hAnsi="Courier New" w:cs="Courier New" w:hint="default"/>
        <w:rFonts w:cs="Courier New"/>
      </w:rPr>
    </w:lvl>
    <w:lvl w:ilvl="8">
      <w:start w:val="1"/>
      <w:numFmt w:val="bullet"/>
      <w:lvlText w:val=""/>
      <w:lvlJc w:val="left"/>
      <w:pPr>
        <w:ind w:left="6549"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88" w:hanging="360"/>
      </w:pPr>
      <w:rPr>
        <w:rFonts w:ascii="Symbol" w:hAnsi="Symbol" w:cs="Symbol" w:hint="default"/>
      </w:rPr>
    </w:lvl>
    <w:lvl w:ilvl="1">
      <w:start w:val="1"/>
      <w:numFmt w:val="bullet"/>
      <w:lvlText w:val="o"/>
      <w:lvlJc w:val="left"/>
      <w:pPr>
        <w:ind w:left="1508" w:hanging="360"/>
      </w:pPr>
      <w:rPr>
        <w:rFonts w:ascii="Courier New" w:hAnsi="Courier New" w:cs="Courier New" w:hint="default"/>
        <w:rFonts w:cs="Courier New"/>
      </w:rPr>
    </w:lvl>
    <w:lvl w:ilvl="2">
      <w:start w:val="1"/>
      <w:numFmt w:val="bullet"/>
      <w:lvlText w:val=""/>
      <w:lvlJc w:val="left"/>
      <w:pPr>
        <w:ind w:left="2228" w:hanging="360"/>
      </w:pPr>
      <w:rPr>
        <w:rFonts w:ascii="Wingdings" w:hAnsi="Wingdings" w:cs="Wingdings" w:hint="default"/>
      </w:rPr>
    </w:lvl>
    <w:lvl w:ilvl="3">
      <w:start w:val="1"/>
      <w:numFmt w:val="bullet"/>
      <w:lvlText w:val=""/>
      <w:lvlJc w:val="left"/>
      <w:pPr>
        <w:ind w:left="2948" w:hanging="360"/>
      </w:pPr>
      <w:rPr>
        <w:rFonts w:ascii="Symbol" w:hAnsi="Symbol" w:cs="Symbol" w:hint="default"/>
      </w:rPr>
    </w:lvl>
    <w:lvl w:ilvl="4">
      <w:start w:val="1"/>
      <w:numFmt w:val="bullet"/>
      <w:lvlText w:val="o"/>
      <w:lvlJc w:val="left"/>
      <w:pPr>
        <w:ind w:left="3668" w:hanging="360"/>
      </w:pPr>
      <w:rPr>
        <w:rFonts w:ascii="Courier New" w:hAnsi="Courier New" w:cs="Courier New" w:hint="default"/>
        <w:rFonts w:cs="Courier New"/>
      </w:rPr>
    </w:lvl>
    <w:lvl w:ilvl="5">
      <w:start w:val="1"/>
      <w:numFmt w:val="bullet"/>
      <w:lvlText w:val=""/>
      <w:lvlJc w:val="left"/>
      <w:pPr>
        <w:ind w:left="4388" w:hanging="360"/>
      </w:pPr>
      <w:rPr>
        <w:rFonts w:ascii="Wingdings" w:hAnsi="Wingdings" w:cs="Wingdings" w:hint="default"/>
      </w:rPr>
    </w:lvl>
    <w:lvl w:ilvl="6">
      <w:start w:val="1"/>
      <w:numFmt w:val="bullet"/>
      <w:lvlText w:val=""/>
      <w:lvlJc w:val="left"/>
      <w:pPr>
        <w:ind w:left="5108" w:hanging="360"/>
      </w:pPr>
      <w:rPr>
        <w:rFonts w:ascii="Symbol" w:hAnsi="Symbol" w:cs="Symbol" w:hint="default"/>
      </w:rPr>
    </w:lvl>
    <w:lvl w:ilvl="7">
      <w:start w:val="1"/>
      <w:numFmt w:val="bullet"/>
      <w:lvlText w:val="o"/>
      <w:lvlJc w:val="left"/>
      <w:pPr>
        <w:ind w:left="5828" w:hanging="360"/>
      </w:pPr>
      <w:rPr>
        <w:rFonts w:ascii="Courier New" w:hAnsi="Courier New" w:cs="Courier New" w:hint="default"/>
        <w:rFonts w:cs="Courier New"/>
      </w:rPr>
    </w:lvl>
    <w:lvl w:ilvl="8">
      <w:start w:val="1"/>
      <w:numFmt w:val="bullet"/>
      <w:lvlText w:val=""/>
      <w:lvlJc w:val="left"/>
      <w:pPr>
        <w:ind w:left="6548" w:hanging="360"/>
      </w:pPr>
      <w:rPr>
        <w:rFonts w:ascii="Wingdings" w:hAnsi="Wingdings" w:cs="Wingdings" w:hint="default"/>
      </w:rPr>
    </w:lvl>
  </w:abstractNum>
  <w:abstractNum w:abstractNumId="23">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5">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trackRevisions/>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lsdException w:name="heading 6" w:uiPriority="9" w:semiHidden="1" w:unhideWhenUsed="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7de0"/>
    <w:pPr>
      <w:widowControl/>
      <w:bidi w:val="0"/>
      <w:spacing w:before="0" w:after="140"/>
      <w:jc w:val="left"/>
    </w:pPr>
    <w:rPr>
      <w:rFonts w:ascii="Arial" w:hAnsi="Arial" w:eastAsia="Times New Roman" w:cs="Times New Roman"/>
      <w:color w:val="0F0F0F" w:themeColor="text1"/>
      <w:kern w:val="0"/>
      <w:sz w:val="24"/>
      <w:szCs w:val="24"/>
      <w:lang w:val="en-GB" w:eastAsia="en-US" w:bidi="ar-SA"/>
    </w:rPr>
  </w:style>
  <w:style w:type="paragraph" w:styleId="Heading1">
    <w:name w:val="Heading 1"/>
    <w:next w:val="Normal"/>
    <w:link w:val="Heading1Char"/>
    <w:autoRedefine/>
    <w:qFormat/>
    <w:rsid w:val="005f2072"/>
    <w:pPr>
      <w:keepNext w:val="true"/>
      <w:widowControl/>
      <w:numPr>
        <w:ilvl w:val="0"/>
        <w:numId w:val="1"/>
      </w:numPr>
      <w:bidi w:val="0"/>
      <w:spacing w:before="0" w:after="180"/>
      <w:jc w:val="left"/>
      <w:outlineLvl w:val="0"/>
    </w:pPr>
    <w:rPr>
      <w:rFonts w:ascii="Arial" w:hAnsi="Arial" w:cs="Arial" w:eastAsia="Times New Roman"/>
      <w:bCs/>
      <w:color w:val="005EB8" w:themeColor="accent1"/>
      <w:spacing w:val="-14"/>
      <w:kern w:val="2"/>
      <w:sz w:val="42"/>
      <w:szCs w:val="32"/>
      <w:lang w:val="en-GB" w:eastAsia="en-US" w:bidi="ar-SA"/>
      <w14:ligatures w14:val="standardContextual"/>
    </w:rPr>
  </w:style>
  <w:style w:type="paragraph" w:styleId="Heading2">
    <w:name w:val="Heading 2"/>
    <w:next w:val="Normal"/>
    <w:link w:val="Heading2Char"/>
    <w:autoRedefine/>
    <w:qFormat/>
    <w:rsid w:val="005f2072"/>
    <w:pPr>
      <w:keepNext w:val="true"/>
      <w:widowControl/>
      <w:numPr>
        <w:ilvl w:val="1"/>
        <w:numId w:val="1"/>
      </w:numPr>
      <w:bidi w:val="0"/>
      <w:spacing w:before="60" w:after="120"/>
      <w:jc w:val="left"/>
      <w:outlineLvl w:val="1"/>
    </w:pPr>
    <w:rPr>
      <w:rFonts w:ascii="Arial" w:hAnsi="Arial" w:eastAsia="MS Mincho" w:cs="Times New Roman"/>
      <w:color w:val="005EB8" w:themeColor="accent1"/>
      <w:spacing w:val="-6"/>
      <w:kern w:val="2"/>
      <w:sz w:val="36"/>
      <w:szCs w:val="28"/>
      <w:lang w:val="en-GB" w:eastAsia="en-US" w:bidi="ar-SA"/>
      <w14:ligatures w14:val="standardContextual"/>
    </w:rPr>
  </w:style>
  <w:style w:type="paragraph" w:styleId="Heading3">
    <w:name w:val="Heading 3"/>
    <w:basedOn w:val="Heading2"/>
    <w:next w:val="Normal"/>
    <w:link w:val="Heading3Char"/>
    <w:autoRedefine/>
    <w:qFormat/>
    <w:rsid w:val="001555a0"/>
    <w:pPr>
      <w:numPr>
        <w:ilvl w:val="2"/>
        <w:numId w:val="1"/>
      </w:numPr>
      <w:spacing w:lineRule="auto" w:line="276" w:before="0" w:after="120"/>
      <w:outlineLvl w:val="2"/>
    </w:pPr>
    <w:rPr>
      <w:rFonts w:cs="Arial"/>
      <w:bCs/>
      <w:sz w:val="30"/>
      <w:szCs w:val="26"/>
    </w:rPr>
  </w:style>
  <w:style w:type="paragraph" w:styleId="Heading4">
    <w:name w:val="Heading 4"/>
    <w:basedOn w:val="Normal"/>
    <w:next w:val="Normal"/>
    <w:link w:val="Heading4Char"/>
    <w:qFormat/>
    <w:rsid w:val="00fa4212"/>
    <w:pPr>
      <w:keepNext w:val="true"/>
      <w:numPr>
        <w:ilvl w:val="3"/>
        <w:numId w:val="1"/>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qFormat/>
    <w:rsid w:val="00b45b18"/>
    <w:pPr>
      <w:keepNext w:val="true"/>
      <w:keepLines/>
      <w:numPr>
        <w:ilvl w:val="4"/>
        <w:numId w:val="1"/>
      </w:numPr>
      <w:spacing w:before="40" w:after="0"/>
      <w:outlineLvl w:val="4"/>
    </w:pPr>
    <w:rPr>
      <w:rFonts w:ascii="Arial" w:hAnsi="Arial" w:eastAsia="ＭＳ Ｐゴシック" w:cs="Arial" w:asciiTheme="majorHAnsi" w:cstheme="majorBidi" w:eastAsiaTheme="majorEastAsia" w:hAnsiTheme="majorHAnsi"/>
      <w:color w:val="004689" w:themeColor="accent1" w:themeShade="bf"/>
    </w:rPr>
  </w:style>
  <w:style w:type="paragraph" w:styleId="Heading6">
    <w:name w:val="Heading 6"/>
    <w:basedOn w:val="Normal"/>
    <w:next w:val="Normal"/>
    <w:link w:val="Heading6Char"/>
    <w:uiPriority w:val="9"/>
    <w:semiHidden/>
    <w:unhideWhenUsed/>
    <w:qFormat/>
    <w:rsid w:val="00b45b18"/>
    <w:pPr>
      <w:keepNext w:val="true"/>
      <w:keepLines/>
      <w:numPr>
        <w:ilvl w:val="5"/>
        <w:numId w:val="1"/>
      </w:numPr>
      <w:spacing w:before="40" w:after="0"/>
      <w:outlineLvl w:val="5"/>
    </w:pPr>
    <w:rPr>
      <w:rFonts w:ascii="Arial" w:hAnsi="Arial" w:eastAsia="ＭＳ Ｐゴシック" w:cs="Arial" w:asciiTheme="majorHAnsi" w:cstheme="majorBidi" w:eastAsiaTheme="majorEastAsia" w:hAnsiTheme="majorHAnsi"/>
      <w:color w:val="002E5B" w:themeColor="accent1" w:themeShade="7f"/>
    </w:rPr>
  </w:style>
  <w:style w:type="paragraph" w:styleId="Heading7">
    <w:name w:val="Heading 7"/>
    <w:basedOn w:val="Normal"/>
    <w:next w:val="Normal"/>
    <w:link w:val="Heading7Char"/>
    <w:semiHidden/>
    <w:unhideWhenUsed/>
    <w:qFormat/>
    <w:rsid w:val="00b45b18"/>
    <w:pPr>
      <w:keepNext w:val="true"/>
      <w:keepLines/>
      <w:numPr>
        <w:ilvl w:val="6"/>
        <w:numId w:val="1"/>
      </w:numPr>
      <w:spacing w:before="40" w:after="0"/>
      <w:outlineLvl w:val="6"/>
    </w:pPr>
    <w:rPr>
      <w:rFonts w:ascii="Arial" w:hAnsi="Arial" w:eastAsia="ＭＳ Ｐゴシック" w:cs="Arial" w:asciiTheme="majorHAnsi" w:cstheme="majorBidi" w:eastAsiaTheme="majorEastAsia" w:hAnsiTheme="majorHAnsi"/>
      <w:i/>
      <w:iCs/>
      <w:color w:val="002E5B" w:themeColor="accent1" w:themeShade="7f"/>
    </w:rPr>
  </w:style>
  <w:style w:type="paragraph" w:styleId="Heading8">
    <w:name w:val="Heading 8"/>
    <w:basedOn w:val="Normal"/>
    <w:next w:val="Normal"/>
    <w:link w:val="Heading8Char"/>
    <w:semiHidden/>
    <w:unhideWhenUsed/>
    <w:qFormat/>
    <w:rsid w:val="00b45b18"/>
    <w:pPr>
      <w:keepNext w:val="true"/>
      <w:keepLines/>
      <w:numPr>
        <w:ilvl w:val="7"/>
        <w:numId w:val="1"/>
      </w:numPr>
      <w:spacing w:before="40" w:after="0"/>
      <w:outlineLvl w:val="7"/>
    </w:pPr>
    <w:rPr>
      <w:rFonts w:ascii="Arial" w:hAnsi="Arial" w:eastAsia="ＭＳ Ｐゴシック" w:cs="Arial" w:asciiTheme="majorHAnsi" w:cstheme="majorBidi" w:eastAsiaTheme="majorEastAsia" w:hAnsiTheme="majorHAnsi"/>
      <w:color w:val="333333" w:themeColor="text1" w:themeTint="d8"/>
      <w:sz w:val="21"/>
      <w:szCs w:val="21"/>
    </w:rPr>
  </w:style>
  <w:style w:type="paragraph" w:styleId="Heading9">
    <w:name w:val="Heading 9"/>
    <w:basedOn w:val="Normal"/>
    <w:next w:val="Normal"/>
    <w:link w:val="Heading9Char"/>
    <w:semiHidden/>
    <w:unhideWhenUsed/>
    <w:qFormat/>
    <w:rsid w:val="00b45b18"/>
    <w:pPr>
      <w:keepNext w:val="true"/>
      <w:keepLines/>
      <w:numPr>
        <w:ilvl w:val="8"/>
        <w:numId w:val="1"/>
      </w:numPr>
      <w:spacing w:before="40" w:after="0"/>
      <w:outlineLvl w:val="8"/>
    </w:pPr>
    <w:rPr>
      <w:rFonts w:ascii="Arial" w:hAnsi="Arial" w:eastAsia="ＭＳ Ｐゴシック" w:cs="Arial" w:asciiTheme="majorHAnsi" w:cstheme="majorBidi" w:eastAsiaTheme="majorEastAsia" w:hAnsiTheme="majorHAnsi"/>
      <w:i/>
      <w:iCs/>
      <w:color w:val="333333" w:themeColor="text1" w:themeTint="d8"/>
      <w:sz w:val="21"/>
      <w:szCs w:val="21"/>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qFormat/>
    <w:rsid w:val="005f2072"/>
    <w:rPr>
      <w:rFonts w:ascii="Arial" w:hAnsi="Arial" w:eastAsia="MS Mincho"/>
      <w:color w:val="005EB8" w:themeColor="accent1"/>
      <w:spacing w:val="-6"/>
      <w:kern w:val="2"/>
      <w:sz w:val="36"/>
      <w:szCs w:val="28"/>
      <w14:ligatures w14:val="standardContextual"/>
    </w:rPr>
  </w:style>
  <w:style w:type="character" w:styleId="Heading1Char" w:customStyle="1">
    <w:name w:val="Heading 1 Char"/>
    <w:basedOn w:val="DefaultParagraphFont"/>
    <w:link w:val="Heading1"/>
    <w:qFormat/>
    <w:rsid w:val="005f2072"/>
    <w:rPr>
      <w:rFonts w:ascii="Arial" w:hAnsi="Arial" w:cs="Arial"/>
      <w:bCs/>
      <w:color w:val="005EB8" w:themeColor="accent1"/>
      <w:spacing w:val="-14"/>
      <w:kern w:val="2"/>
      <w:sz w:val="42"/>
      <w:szCs w:val="32"/>
      <w14:ligatures w14:val="standardContextual"/>
    </w:rPr>
  </w:style>
  <w:style w:type="character" w:styleId="Heading3Char" w:customStyle="1">
    <w:name w:val="Heading 3 Char"/>
    <w:basedOn w:val="DefaultParagraphFont"/>
    <w:link w:val="Heading3"/>
    <w:qFormat/>
    <w:rsid w:val="001555a0"/>
    <w:rPr>
      <w:rFonts w:ascii="Arial" w:hAnsi="Arial" w:eastAsia="MS Mincho" w:cs="Arial"/>
      <w:bCs/>
      <w:color w:val="005EB8" w:themeColor="accent1"/>
      <w:spacing w:val="-6"/>
      <w:kern w:val="2"/>
      <w:sz w:val="30"/>
      <w:szCs w:val="26"/>
      <w14:ligatures w14:val="standardContextual"/>
    </w:rPr>
  </w:style>
  <w:style w:type="character" w:styleId="BulletlistChar" w:customStyle="1">
    <w:name w:val="Bullet list Char"/>
    <w:basedOn w:val="DefaultParagraphFont"/>
    <w:link w:val="Bulletlist"/>
    <w:qFormat/>
    <w:rsid w:val="00497de0"/>
    <w:rPr>
      <w:rFonts w:ascii="Arial" w:hAnsi="Arial" w:cs="FrutigerLTStd-Light"/>
      <w:color w:val="0F0F0F" w:themeColor="text1"/>
      <w:sz w:val="24"/>
      <w:szCs w:val="22"/>
    </w:rPr>
  </w:style>
  <w:style w:type="character" w:styleId="FootnotehangingChar" w:customStyle="1">
    <w:name w:val="Footnote - hanging Char"/>
    <w:basedOn w:val="BulletlistChar"/>
    <w:link w:val="Footnote-hanging"/>
    <w:qFormat/>
    <w:rsid w:val="004f0a67"/>
    <w:rPr>
      <w:rFonts w:ascii="Arial" w:hAnsi="Arial" w:cs="FrutigerLTStd-Light"/>
      <w:color w:val="0F0F0F" w:themeColor="text1"/>
      <w:sz w:val="18"/>
      <w:szCs w:val="18"/>
    </w:rPr>
  </w:style>
  <w:style w:type="character" w:styleId="Heading4Char" w:customStyle="1">
    <w:name w:val="Heading 4 Char"/>
    <w:basedOn w:val="DefaultParagraphFont"/>
    <w:link w:val="Heading4"/>
    <w:qFormat/>
    <w:rsid w:val="00fa4212"/>
    <w:rPr>
      <w:rFonts w:ascii="Arial" w:hAnsi="Arial"/>
      <w:b/>
      <w:color w:val="005EB8" w:themeColor="accent1"/>
      <w:sz w:val="24"/>
    </w:rPr>
  </w:style>
  <w:style w:type="character" w:styleId="InternetLink">
    <w:name w:val="Hyperlink"/>
    <w:basedOn w:val="DefaultParagraphFont"/>
    <w:uiPriority w:val="99"/>
    <w:unhideWhenUsed/>
    <w:qFormat/>
    <w:rsid w:val="00d66537"/>
    <w:rPr>
      <w:rFonts w:ascii="Arial" w:hAnsi="Arial" w:asciiTheme="minorHAnsi" w:hAnsiTheme="minorHAnsi"/>
      <w:color w:val="003087" w:themeColor="accent3"/>
      <w:u w:val="none"/>
    </w:rPr>
  </w:style>
  <w:style w:type="character" w:styleId="StandfirstChar" w:customStyle="1">
    <w:name w:val="Standfirst Char"/>
    <w:basedOn w:val="Heading4Char"/>
    <w:link w:val="Standfirst"/>
    <w:qFormat/>
    <w:rsid w:val="00fa4212"/>
    <w:rPr>
      <w:rFonts w:ascii="Arial" w:hAnsi="Arial"/>
      <w:b w:val="false"/>
      <w:color w:val="424D58" w:themeColor="accent6"/>
      <w:spacing w:val="4"/>
      <w:kern w:val="2"/>
      <w:sz w:val="30"/>
      <w:szCs w:val="28"/>
      <w14:ligatures w14:val="standardContextual"/>
    </w:rPr>
  </w:style>
  <w:style w:type="character" w:styleId="FrontpageTitleChar" w:customStyle="1">
    <w:name w:val="Frontpage_Title Char"/>
    <w:basedOn w:val="DefaultParagraphFont"/>
    <w:link w:val="FrontpageTitle"/>
    <w:qFormat/>
    <w:rsid w:val="006c4880"/>
    <w:rPr>
      <w:rFonts w:ascii="Arial" w:hAnsi="Arial"/>
      <w:b/>
      <w:color w:val="005EB8" w:themeColor="accent1"/>
      <w:sz w:val="72"/>
      <w:szCs w:val="72"/>
    </w:rPr>
  </w:style>
  <w:style w:type="character" w:styleId="FrontpagesubheadChar" w:customStyle="1">
    <w:name w:val="Frontpage_subhead Char"/>
    <w:basedOn w:val="DefaultParagraphFont"/>
    <w:link w:val="Frontpagesubhead"/>
    <w:qFormat/>
    <w:rsid w:val="00e5122e"/>
    <w:rPr>
      <w:rFonts w:ascii="Arial" w:hAnsi="Arial"/>
      <w:b/>
      <w:color w:val="424D58" w:themeColor="accent6"/>
      <w:sz w:val="48"/>
      <w:szCs w:val="36"/>
    </w:rPr>
  </w:style>
  <w:style w:type="character" w:styleId="FootnoteseparatorChar" w:customStyle="1">
    <w:name w:val="Footnote_separator Char"/>
    <w:basedOn w:val="Heading3Char"/>
    <w:link w:val="Footnoteseparator"/>
    <w:qFormat/>
    <w:rsid w:val="000c24af"/>
    <w:rPr>
      <w:rFonts w:ascii="Arial" w:hAnsi="Arial" w:eastAsia="MS Mincho" w:cs="Arial"/>
      <w:bCs/>
      <w:color w:val="005EB8" w:themeColor="accent1"/>
      <w:spacing w:val="-6"/>
      <w:w w:val="200"/>
      <w:kern w:val="2"/>
      <w:sz w:val="16"/>
      <w:szCs w:val="16"/>
      <w14:ligatures w14:val="standardContextual"/>
    </w:rPr>
  </w:style>
  <w:style w:type="character" w:styleId="NumberedlistChar" w:customStyle="1">
    <w:name w:val="Numbered list Char"/>
    <w:basedOn w:val="DefaultParagraphFont"/>
    <w:link w:val="Numberedlist"/>
    <w:qFormat/>
    <w:rsid w:val="000c24af"/>
    <w:rPr>
      <w:rFonts w:ascii="Arial" w:hAnsi="Arial"/>
      <w:sz w:val="24"/>
      <w:szCs w:val="24"/>
    </w:rPr>
  </w:style>
  <w:style w:type="character" w:styleId="HeaderChar" w:customStyle="1">
    <w:name w:val="Header Char"/>
    <w:basedOn w:val="DefaultParagraphFont"/>
    <w:link w:val="Header"/>
    <w:uiPriority w:val="99"/>
    <w:qFormat/>
    <w:rsid w:val="004f0a67"/>
    <w:rPr>
      <w:rFonts w:ascii="Arial" w:hAnsi="Arial"/>
      <w:color w:val="84919C" w:themeColor="accent2"/>
      <w:szCs w:val="24"/>
    </w:rPr>
  </w:style>
  <w:style w:type="character" w:styleId="FooterChar" w:customStyle="1">
    <w:name w:val="Footer Char"/>
    <w:basedOn w:val="DefaultParagraphFont"/>
    <w:link w:val="Footer"/>
    <w:uiPriority w:val="99"/>
    <w:qFormat/>
    <w:rsid w:val="00ea274d"/>
    <w:rPr>
      <w:rFonts w:ascii="Arial" w:hAnsi="Arial"/>
      <w:color w:val="84919C" w:themeColor="accent2"/>
      <w:spacing w:val="-4"/>
      <w:sz w:val="18"/>
      <w:szCs w:val="24"/>
    </w:rPr>
  </w:style>
  <w:style w:type="character" w:styleId="Strong">
    <w:name w:val="Strong"/>
    <w:uiPriority w:val="22"/>
    <w:qFormat/>
    <w:rsid w:val="000c24af"/>
    <w:rPr>
      <w:rFonts w:ascii="Arial" w:hAnsi="Arial" w:asciiTheme="minorHAnsi" w:hAnsiTheme="minorHAnsi"/>
      <w:b/>
      <w:bCs/>
    </w:rPr>
  </w:style>
  <w:style w:type="character" w:styleId="QuoteChar" w:customStyle="1">
    <w:name w:val="Quote Char"/>
    <w:basedOn w:val="DefaultParagraphFont"/>
    <w:link w:val="Quote"/>
    <w:uiPriority w:val="29"/>
    <w:qFormat/>
    <w:rsid w:val="00fa4212"/>
    <w:rPr>
      <w:rFonts w:ascii="Arial" w:hAnsi="Arial" w:asciiTheme="minorHAnsi" w:hAnsiTheme="minorHAnsi"/>
      <w:i/>
      <w:iCs/>
      <w:color w:val="005EB8" w:themeColor="accent1"/>
      <w:sz w:val="30"/>
      <w:szCs w:val="24"/>
    </w:rPr>
  </w:style>
  <w:style w:type="character" w:styleId="ListParagraphChar" w:customStyle="1">
    <w:name w:val="List Paragraph Char"/>
    <w:basedOn w:val="DefaultParagraphFont"/>
    <w:link w:val="ListParagraph"/>
    <w:uiPriority w:val="34"/>
    <w:qFormat/>
    <w:rsid w:val="001d243c"/>
    <w:rPr>
      <w:rFonts w:ascii="Arial" w:hAnsi="Arial"/>
      <w:sz w:val="24"/>
      <w:szCs w:val="24"/>
    </w:rPr>
  </w:style>
  <w:style w:type="character" w:styleId="FootnoteCharacters">
    <w:name w:val="Footnote Characters"/>
    <w:basedOn w:val="DefaultParagraphFont"/>
    <w:uiPriority w:val="99"/>
    <w:semiHidden/>
    <w:unhideWhenUsed/>
    <w:qFormat/>
    <w:rsid w:val="001d243c"/>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3d3a42"/>
    <w:rPr>
      <w:rFonts w:ascii="Tahoma" w:hAnsi="Tahoma" w:cs="Tahoma"/>
      <w:sz w:val="16"/>
      <w:szCs w:val="16"/>
    </w:rPr>
  </w:style>
  <w:style w:type="character" w:styleId="PlaceholderText">
    <w:name w:val="Placeholder Text"/>
    <w:basedOn w:val="DefaultParagraphFont"/>
    <w:uiPriority w:val="99"/>
    <w:semiHidden/>
    <w:qFormat/>
    <w:rsid w:val="00dd77f0"/>
    <w:rPr>
      <w:color w:val="808080"/>
    </w:rPr>
  </w:style>
  <w:style w:type="character" w:styleId="PublisheddateChar" w:customStyle="1">
    <w:name w:val="Published date Char"/>
    <w:basedOn w:val="Heading4Char"/>
    <w:link w:val="Publisheddate"/>
    <w:qFormat/>
    <w:rsid w:val="00e5122e"/>
    <w:rPr>
      <w:rFonts w:ascii="Arial" w:hAnsi="Arial"/>
      <w:b w:val="false"/>
      <w:color w:val="005EB8" w:themeColor="accent1"/>
      <w:sz w:val="30"/>
    </w:rPr>
  </w:style>
  <w:style w:type="character" w:styleId="PlainTextChar" w:customStyle="1">
    <w:name w:val="Plain Text Char"/>
    <w:basedOn w:val="DefaultParagraphFont"/>
    <w:link w:val="PlainText"/>
    <w:uiPriority w:val="99"/>
    <w:qFormat/>
    <w:rsid w:val="009b4462"/>
    <w:rPr>
      <w:rFonts w:ascii="Arial" w:hAnsi="Arial" w:eastAsia="Arial" w:cs="Arial" w:eastAsiaTheme="minorHAnsi"/>
      <w:sz w:val="22"/>
      <w:szCs w:val="22"/>
    </w:rPr>
  </w:style>
  <w:style w:type="character" w:styleId="UnresolvedMention1" w:customStyle="1">
    <w:name w:val="Unresolved Mention1"/>
    <w:basedOn w:val="DefaultParagraphFont"/>
    <w:uiPriority w:val="99"/>
    <w:semiHidden/>
    <w:unhideWhenUsed/>
    <w:qFormat/>
    <w:rsid w:val="00ac5777"/>
    <w:rPr>
      <w:color w:val="605E5C"/>
      <w:shd w:fill="E1DFDD" w:val="clear"/>
    </w:rPr>
  </w:style>
  <w:style w:type="character" w:styleId="VisitedInternetLink">
    <w:name w:val="FollowedHyperlink"/>
    <w:basedOn w:val="DefaultParagraphFont"/>
    <w:uiPriority w:val="99"/>
    <w:semiHidden/>
    <w:unhideWhenUsed/>
    <w:rsid w:val="006908c0"/>
    <w:rPr>
      <w:color w:val="7C2855" w:themeColor="followedHyperlink"/>
      <w:u w:val="single"/>
    </w:rPr>
  </w:style>
  <w:style w:type="character" w:styleId="TableTextChar" w:customStyle="1">
    <w:name w:val="Table Text Char"/>
    <w:basedOn w:val="DefaultParagraphFont"/>
    <w:link w:val="TableText"/>
    <w:qFormat/>
    <w:rsid w:val="00f17250"/>
    <w:rPr>
      <w:rFonts w:ascii="Arial" w:hAnsi="Arial"/>
      <w:sz w:val="21"/>
      <w:szCs w:val="24"/>
      <w:lang w:eastAsia="en-GB"/>
    </w:rPr>
  </w:style>
  <w:style w:type="character" w:styleId="DocmgmtheadingChar" w:customStyle="1">
    <w:name w:val="Doc mgmt heading Char"/>
    <w:basedOn w:val="DefaultParagraphFont"/>
    <w:link w:val="Docmgmtheading"/>
    <w:qFormat/>
    <w:rsid w:val="000c04fc"/>
    <w:rPr>
      <w:rFonts w:ascii="Arial" w:hAnsi="Arial"/>
      <w:b/>
      <w:color w:val="005EB8" w:themeColor="accent1"/>
      <w:sz w:val="42"/>
      <w:szCs w:val="42"/>
      <w:lang w:eastAsia="en-GB"/>
    </w:rPr>
  </w:style>
  <w:style w:type="character" w:styleId="DocMgmtSubheadChar" w:customStyle="1">
    <w:name w:val="Doc Mgmt Subhead Char"/>
    <w:basedOn w:val="Heading2Char"/>
    <w:link w:val="DocMgmtSubhead"/>
    <w:qFormat/>
    <w:rsid w:val="000c04fc"/>
    <w:rPr>
      <w:rFonts w:ascii="Arial" w:hAnsi="Arial" w:eastAsia="MS Mincho"/>
      <w:b w:val="false"/>
      <w:color w:val="005EB8" w:themeColor="accent1"/>
      <w:spacing w:val="-6"/>
      <w:kern w:val="2"/>
      <w:sz w:val="35"/>
      <w:szCs w:val="42"/>
      <w:lang w:eastAsia="en-GB"/>
      <w14:ligatures w14:val="standardContextual"/>
    </w:rPr>
  </w:style>
  <w:style w:type="character" w:styleId="Heading5Char" w:customStyle="1">
    <w:name w:val="Heading 5 Char"/>
    <w:basedOn w:val="DefaultParagraphFont"/>
    <w:link w:val="Heading5"/>
    <w:uiPriority w:val="9"/>
    <w:semiHidden/>
    <w:qFormat/>
    <w:rsid w:val="00b45b18"/>
    <w:rPr>
      <w:rFonts w:ascii="Arial" w:hAnsi="Arial" w:eastAsia="ＭＳ Ｐゴシック" w:cs="Arial" w:asciiTheme="majorHAnsi" w:cstheme="majorBidi" w:eastAsiaTheme="majorEastAsia" w:hAnsiTheme="majorHAnsi"/>
      <w:color w:val="004689" w:themeColor="accent1" w:themeShade="bf"/>
      <w:sz w:val="24"/>
      <w:szCs w:val="24"/>
    </w:rPr>
  </w:style>
  <w:style w:type="character" w:styleId="Heading6Char" w:customStyle="1">
    <w:name w:val="Heading 6 Char"/>
    <w:basedOn w:val="DefaultParagraphFont"/>
    <w:link w:val="Heading6"/>
    <w:uiPriority w:val="9"/>
    <w:semiHidden/>
    <w:qFormat/>
    <w:rsid w:val="00b45b18"/>
    <w:rPr>
      <w:rFonts w:ascii="Arial" w:hAnsi="Arial" w:eastAsia="ＭＳ Ｐゴシック" w:cs="Arial" w:asciiTheme="majorHAnsi" w:cstheme="majorBidi" w:eastAsiaTheme="majorEastAsia" w:hAnsiTheme="majorHAnsi"/>
      <w:color w:val="002E5B" w:themeColor="accent1" w:themeShade="7f"/>
      <w:sz w:val="24"/>
      <w:szCs w:val="24"/>
    </w:rPr>
  </w:style>
  <w:style w:type="character" w:styleId="Heading7Char" w:customStyle="1">
    <w:name w:val="Heading 7 Char"/>
    <w:basedOn w:val="DefaultParagraphFont"/>
    <w:link w:val="Heading7"/>
    <w:semiHidden/>
    <w:qFormat/>
    <w:rsid w:val="00b45b18"/>
    <w:rPr>
      <w:rFonts w:ascii="Arial" w:hAnsi="Arial" w:eastAsia="ＭＳ Ｐゴシック" w:cs="Arial" w:asciiTheme="majorHAnsi" w:cstheme="majorBidi" w:eastAsiaTheme="majorEastAsia" w:hAnsiTheme="majorHAnsi"/>
      <w:i/>
      <w:iCs/>
      <w:color w:val="002E5B" w:themeColor="accent1" w:themeShade="7f"/>
      <w:sz w:val="24"/>
      <w:szCs w:val="24"/>
    </w:rPr>
  </w:style>
  <w:style w:type="character" w:styleId="Heading8Char" w:customStyle="1">
    <w:name w:val="Heading 8 Char"/>
    <w:basedOn w:val="DefaultParagraphFont"/>
    <w:link w:val="Heading8"/>
    <w:semiHidden/>
    <w:qFormat/>
    <w:rsid w:val="00b45b18"/>
    <w:rPr>
      <w:rFonts w:ascii="Arial" w:hAnsi="Arial" w:eastAsia="ＭＳ Ｐゴシック" w:cs="Arial" w:asciiTheme="majorHAnsi" w:cstheme="majorBidi" w:eastAsiaTheme="majorEastAsia" w:hAnsiTheme="majorHAnsi"/>
      <w:color w:val="333333" w:themeColor="text1" w:themeTint="d8"/>
      <w:sz w:val="21"/>
      <w:szCs w:val="21"/>
    </w:rPr>
  </w:style>
  <w:style w:type="character" w:styleId="Heading9Char" w:customStyle="1">
    <w:name w:val="Heading 9 Char"/>
    <w:basedOn w:val="DefaultParagraphFont"/>
    <w:link w:val="Heading9"/>
    <w:semiHidden/>
    <w:qFormat/>
    <w:rsid w:val="00b45b18"/>
    <w:rPr>
      <w:rFonts w:ascii="Arial" w:hAnsi="Arial" w:eastAsia="ＭＳ Ｐゴシック" w:cs="Arial" w:asciiTheme="majorHAnsi" w:cstheme="majorBidi" w:eastAsiaTheme="majorEastAsia" w:hAnsiTheme="majorHAnsi"/>
      <w:i/>
      <w:iCs/>
      <w:color w:val="333333" w:themeColor="text1" w:themeTint="d8"/>
      <w:sz w:val="21"/>
      <w:szCs w:val="21"/>
    </w:rPr>
  </w:style>
  <w:style w:type="character" w:styleId="Annotationreference">
    <w:name w:val="annotation reference"/>
    <w:basedOn w:val="DefaultParagraphFont"/>
    <w:uiPriority w:val="99"/>
    <w:semiHidden/>
    <w:unhideWhenUsed/>
    <w:qFormat/>
    <w:rsid w:val="009d6c8c"/>
    <w:rPr>
      <w:sz w:val="16"/>
      <w:szCs w:val="16"/>
    </w:rPr>
  </w:style>
  <w:style w:type="character" w:styleId="CommentTextChar" w:customStyle="1">
    <w:name w:val="Comment Text Char"/>
    <w:basedOn w:val="DefaultParagraphFont"/>
    <w:link w:val="CommentText"/>
    <w:uiPriority w:val="99"/>
    <w:semiHidden/>
    <w:qFormat/>
    <w:rsid w:val="009d6c8c"/>
    <w:rPr>
      <w:rFonts w:ascii="Arial" w:hAnsi="Arial"/>
      <w:color w:val="0F0F0F" w:themeColor="text1"/>
    </w:rPr>
  </w:style>
  <w:style w:type="character" w:styleId="CommentSubjectChar" w:customStyle="1">
    <w:name w:val="Comment Subject Char"/>
    <w:basedOn w:val="CommentTextChar"/>
    <w:link w:val="CommentSubject"/>
    <w:uiPriority w:val="99"/>
    <w:semiHidden/>
    <w:qFormat/>
    <w:rsid w:val="009d6c8c"/>
    <w:rPr>
      <w:rFonts w:ascii="Arial" w:hAnsi="Arial"/>
      <w:b/>
      <w:bCs/>
      <w:color w:val="0F0F0F" w:themeColor="text1"/>
    </w:rPr>
  </w:style>
  <w:style w:type="character" w:styleId="UnresolvedMention">
    <w:name w:val="Unresolved Mention"/>
    <w:basedOn w:val="DefaultParagraphFont"/>
    <w:uiPriority w:val="99"/>
    <w:semiHidden/>
    <w:unhideWhenUsed/>
    <w:qFormat/>
    <w:rsid w:val="00ae6695"/>
    <w:rPr>
      <w:color w:val="605E5C"/>
      <w:shd w:fill="E1DFDD" w:val="clear"/>
    </w:rPr>
  </w:style>
  <w:style w:type="character" w:styleId="FootnoteTextChar" w:customStyle="1">
    <w:name w:val="Footnote Text Char"/>
    <w:basedOn w:val="DefaultParagraphFont"/>
    <w:link w:val="FootnoteText"/>
    <w:uiPriority w:val="99"/>
    <w:semiHidden/>
    <w:qFormat/>
    <w:rsid w:val="004b2654"/>
    <w:rPr>
      <w:rFonts w:ascii="Arial" w:hAnsi="Arial"/>
      <w:color w:val="0F0F0F" w:themeColor="text1"/>
    </w:rPr>
  </w:style>
  <w:style w:type="character" w:styleId="NormalBoldChar" w:customStyle="1">
    <w:name w:val="Normal Bold Char"/>
    <w:basedOn w:val="DefaultParagraphFont"/>
    <w:link w:val="NormalBold"/>
    <w:qFormat/>
    <w:rsid w:val="00501ad9"/>
    <w:rPr>
      <w:rFonts w:ascii="Arial" w:hAnsi="Arial" w:cs="Arial"/>
      <w:b/>
      <w:sz w:val="24"/>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Arial" w:hAnsi="Arial" w:cs="Arial"/>
    </w:rPr>
  </w:style>
  <w:style w:type="paragraph" w:styleId="Caption">
    <w:name w:val="Caption"/>
    <w:basedOn w:val="Normal"/>
    <w:qFormat/>
    <w:pPr>
      <w:suppressLineNumbers/>
      <w:spacing w:before="120" w:after="120"/>
    </w:pPr>
    <w:rPr>
      <w:rFonts w:ascii="Arial" w:hAnsi="Arial" w:cs="Arial"/>
      <w:i/>
      <w:iCs/>
      <w:sz w:val="24"/>
      <w:szCs w:val="24"/>
    </w:rPr>
  </w:style>
  <w:style w:type="paragraph" w:styleId="Index">
    <w:name w:val="Index"/>
    <w:basedOn w:val="Normal"/>
    <w:qFormat/>
    <w:pPr>
      <w:suppressLineNumbers/>
    </w:pPr>
    <w:rPr>
      <w:rFonts w:ascii="Arial" w:hAnsi="Arial" w:cs="Arial"/>
    </w:rPr>
  </w:style>
  <w:style w:type="paragraph" w:styleId="ListParagraph">
    <w:name w:val="List Paragraph"/>
    <w:basedOn w:val="Normal"/>
    <w:link w:val="ListParagraphChar"/>
    <w:uiPriority w:val="34"/>
    <w:qFormat/>
    <w:rsid w:val="00d93d0d"/>
    <w:pPr>
      <w:spacing w:before="0" w:after="180"/>
      <w:ind w:firstLine="360"/>
    </w:pPr>
    <w:rPr/>
  </w:style>
  <w:style w:type="paragraph" w:styleId="Bulletlist" w:customStyle="1">
    <w:name w:val="Bullet list"/>
    <w:basedOn w:val="ListParagraph"/>
    <w:link w:val="BulletlistChar"/>
    <w:autoRedefine/>
    <w:qFormat/>
    <w:rsid w:val="00497de0"/>
    <w:pPr>
      <w:spacing w:before="0" w:after="140"/>
      <w:ind w:left="510" w:hanging="510"/>
    </w:pPr>
    <w:rPr>
      <w:rFonts w:cs="FrutigerLTStd-Light"/>
      <w:szCs w:val="22"/>
    </w:rPr>
  </w:style>
  <w:style w:type="paragraph" w:styleId="Footnotehanging" w:customStyle="1">
    <w:name w:val="Footnote - hanging"/>
    <w:basedOn w:val="Bulletlist"/>
    <w:link w:val="Footnote-hangingChar"/>
    <w:qFormat/>
    <w:rsid w:val="004f0a67"/>
    <w:pPr>
      <w:tabs>
        <w:tab w:val="clear" w:pos="720"/>
        <w:tab w:val="left" w:pos="284" w:leader="none"/>
      </w:tabs>
      <w:spacing w:before="0" w:after="280"/>
      <w:ind w:left="284" w:hanging="284"/>
    </w:pPr>
    <w:rPr>
      <w:sz w:val="18"/>
      <w:szCs w:val="18"/>
    </w:rPr>
  </w:style>
  <w:style w:type="paragraph" w:styleId="Standfirst" w:customStyle="1">
    <w:name w:val="Standfirst"/>
    <w:basedOn w:val="Normal"/>
    <w:link w:val="StandfirstChar"/>
    <w:autoRedefine/>
    <w:qFormat/>
    <w:rsid w:val="00fa4212"/>
    <w:pPr>
      <w:spacing w:lineRule="atLeast" w:line="420" w:before="0" w:after="180"/>
    </w:pPr>
    <w:rPr>
      <w:color w:val="424D58" w:themeColor="accent6"/>
      <w:spacing w:val="4"/>
      <w:kern w:val="2"/>
      <w:sz w:val="30"/>
      <w:szCs w:val="28"/>
      <w14:ligatures w14:val="standardContextual"/>
    </w:rPr>
  </w:style>
  <w:style w:type="paragraph" w:styleId="Contents1">
    <w:name w:val="TOC 1"/>
    <w:basedOn w:val="Normal"/>
    <w:next w:val="Normal"/>
    <w:autoRedefine/>
    <w:uiPriority w:val="39"/>
    <w:unhideWhenUsed/>
    <w:qFormat/>
    <w:rsid w:val="003f7dcc"/>
    <w:pPr>
      <w:pBdr>
        <w:top w:val="single" w:sz="4" w:space="4" w:color="D6DBE0"/>
        <w:bottom w:val="single" w:sz="4" w:space="4" w:color="D6DBE0"/>
      </w:pBdr>
      <w:tabs>
        <w:tab w:val="clear" w:pos="720"/>
        <w:tab w:val="left" w:pos="440" w:leader="none"/>
        <w:tab w:val="right" w:pos="9854" w:leader="none"/>
      </w:tabs>
    </w:pPr>
    <w:rPr>
      <w:b/>
      <w:color w:val="005EB8" w:themeColor="accent1"/>
      <w:sz w:val="28"/>
    </w:rPr>
  </w:style>
  <w:style w:type="paragraph" w:styleId="TOCHeading">
    <w:name w:val="TOC Heading"/>
    <w:basedOn w:val="Heading1"/>
    <w:next w:val="Normal"/>
    <w:uiPriority w:val="39"/>
    <w:unhideWhenUsed/>
    <w:qFormat/>
    <w:rsid w:val="000c24af"/>
    <w:pPr>
      <w:keepLines/>
      <w:numPr>
        <w:ilvl w:val="0"/>
        <w:numId w:val="0"/>
      </w:numPr>
      <w:spacing w:lineRule="auto" w:line="276" w:before="480" w:after="0"/>
    </w:pPr>
    <w:rPr>
      <w:rFonts w:ascii="Arial" w:hAnsi="Arial" w:eastAsia="ＭＳ Ｐゴシック" w:cs="Arial" w:asciiTheme="majorHAnsi" w:cstheme="majorBidi" w:eastAsiaTheme="majorEastAsia" w:hAnsiTheme="majorHAnsi"/>
      <w:kern w:val="0"/>
      <w:sz w:val="28"/>
      <w:szCs w:val="28"/>
      <w:lang w:val="en-US" w:eastAsia="ja-JP"/>
    </w:rPr>
  </w:style>
  <w:style w:type="paragraph" w:styleId="FrontpageTitle" w:customStyle="1">
    <w:name w:val="Frontpage_Title"/>
    <w:basedOn w:val="Normal"/>
    <w:link w:val="FrontpageTitleChar"/>
    <w:autoRedefine/>
    <w:qFormat/>
    <w:rsid w:val="006c4880"/>
    <w:pPr/>
    <w:rPr>
      <w:b/>
      <w:color w:val="005EB8" w:themeColor="accent1"/>
      <w:sz w:val="72"/>
      <w:szCs w:val="72"/>
    </w:rPr>
  </w:style>
  <w:style w:type="paragraph" w:styleId="Frontpagesubhead" w:customStyle="1">
    <w:name w:val="Frontpage_subhead"/>
    <w:basedOn w:val="Normal"/>
    <w:link w:val="FrontpagesubheadChar"/>
    <w:autoRedefine/>
    <w:qFormat/>
    <w:rsid w:val="00e5122e"/>
    <w:pPr/>
    <w:rPr>
      <w:b/>
      <w:color w:val="424D58" w:themeColor="accent6"/>
      <w:sz w:val="48"/>
      <w:szCs w:val="36"/>
    </w:rPr>
  </w:style>
  <w:style w:type="paragraph" w:styleId="Footnoteseparator" w:customStyle="1">
    <w:name w:val="Footnote_separator"/>
    <w:basedOn w:val="Heading3"/>
    <w:link w:val="FootnoteseparatorChar"/>
    <w:qFormat/>
    <w:rsid w:val="000c24af"/>
    <w:pPr>
      <w:numPr>
        <w:ilvl w:val="0"/>
        <w:numId w:val="0"/>
      </w:numPr>
    </w:pPr>
    <w:rPr>
      <w:w w:val="200"/>
      <w:sz w:val="16"/>
      <w:szCs w:val="16"/>
    </w:rPr>
  </w:style>
  <w:style w:type="paragraph" w:styleId="Numberedlist" w:customStyle="1">
    <w:name w:val="Numbered list"/>
    <w:basedOn w:val="ListParagraph"/>
    <w:link w:val="NumberedlistChar"/>
    <w:qFormat/>
    <w:rsid w:val="000c24af"/>
    <w:pPr>
      <w:spacing w:before="0" w:after="140"/>
      <w:ind w:left="510" w:hanging="510"/>
    </w:pPr>
    <w:rPr/>
  </w:style>
  <w:style w:type="paragraph" w:styleId="Contents2">
    <w:name w:val="TOC 2"/>
    <w:basedOn w:val="Normal"/>
    <w:next w:val="Normal"/>
    <w:autoRedefine/>
    <w:uiPriority w:val="39"/>
    <w:unhideWhenUsed/>
    <w:qFormat/>
    <w:rsid w:val="00eb6372"/>
    <w:pPr>
      <w:spacing w:before="0" w:after="100"/>
      <w:ind w:left="220" w:hanging="0"/>
    </w:pPr>
    <w:rPr>
      <w:color w:val="424D58" w:themeColor="accent6"/>
    </w:rPr>
  </w:style>
  <w:style w:type="paragraph" w:styleId="Contents3">
    <w:name w:val="TOC 3"/>
    <w:basedOn w:val="Normal"/>
    <w:next w:val="Normal"/>
    <w:autoRedefine/>
    <w:uiPriority w:val="39"/>
    <w:unhideWhenUsed/>
    <w:qFormat/>
    <w:rsid w:val="000c24af"/>
    <w:pPr>
      <w:spacing w:lineRule="auto" w:line="276" w:before="0" w:after="100"/>
      <w:ind w:left="440" w:hanging="0"/>
    </w:pPr>
    <w:rPr>
      <w:rFonts w:ascii="Arial" w:hAnsi="Arial" w:eastAsia="ＭＳ Ｐゴシック" w:cs="Arial" w:asciiTheme="minorHAnsi" w:cstheme="minorBidi" w:eastAsiaTheme="minorEastAsia" w:hAnsiTheme="minorHAnsi"/>
      <w:szCs w:val="22"/>
      <w:lang w:val="en-US" w:eastAsia="ja-JP"/>
    </w:rPr>
  </w:style>
  <w:style w:type="paragraph" w:styleId="HeaderandFooter">
    <w:name w:val="Header and Footer"/>
    <w:basedOn w:val="Normal"/>
    <w:qFormat/>
    <w:pPr/>
    <w:rPr/>
  </w:style>
  <w:style w:type="paragraph" w:styleId="Header">
    <w:name w:val="Header"/>
    <w:basedOn w:val="Normal"/>
    <w:link w:val="HeaderChar"/>
    <w:uiPriority w:val="99"/>
    <w:unhideWhenUsed/>
    <w:qFormat/>
    <w:rsid w:val="004f0a67"/>
    <w:pPr>
      <w:pBdr>
        <w:bottom w:val="single" w:sz="2" w:space="4" w:color="84919C"/>
      </w:pBdr>
      <w:tabs>
        <w:tab w:val="clear" w:pos="720"/>
        <w:tab w:val="left" w:pos="9639" w:leader="none"/>
      </w:tabs>
      <w:spacing w:before="0" w:after="0"/>
    </w:pPr>
    <w:rPr>
      <w:color w:val="84919C" w:themeColor="accent2"/>
      <w:sz w:val="20"/>
    </w:rPr>
  </w:style>
  <w:style w:type="paragraph" w:styleId="Footer">
    <w:name w:val="Footer"/>
    <w:basedOn w:val="Normal"/>
    <w:link w:val="FooterChar"/>
    <w:autoRedefine/>
    <w:uiPriority w:val="99"/>
    <w:unhideWhenUsed/>
    <w:qFormat/>
    <w:rsid w:val="00ea274d"/>
    <w:pPr>
      <w:tabs>
        <w:tab w:val="clear" w:pos="720"/>
        <w:tab w:val="left" w:pos="426" w:leader="none"/>
        <w:tab w:val="right" w:pos="9866" w:leader="none"/>
      </w:tabs>
      <w:spacing w:before="0" w:after="0"/>
    </w:pPr>
    <w:rPr>
      <w:color w:val="84919C" w:themeColor="accent2"/>
      <w:spacing w:val="-4"/>
      <w:sz w:val="18"/>
    </w:rPr>
  </w:style>
  <w:style w:type="paragraph" w:styleId="Quote">
    <w:name w:val="Quote"/>
    <w:basedOn w:val="Normal"/>
    <w:next w:val="Normal"/>
    <w:link w:val="QuoteChar"/>
    <w:uiPriority w:val="29"/>
    <w:qFormat/>
    <w:rsid w:val="00fa4212"/>
    <w:pPr>
      <w:spacing w:before="70" w:after="70"/>
    </w:pPr>
    <w:rPr>
      <w:rFonts w:ascii="Arial" w:hAnsi="Arial" w:asciiTheme="minorHAnsi" w:hAnsiTheme="minorHAnsi"/>
      <w:i/>
      <w:iCs/>
      <w:color w:val="005EB8" w:themeColor="accent1"/>
      <w:sz w:val="30"/>
    </w:rPr>
  </w:style>
  <w:style w:type="paragraph" w:styleId="BalloonText">
    <w:name w:val="Balloon Text"/>
    <w:basedOn w:val="Normal"/>
    <w:link w:val="BalloonTextChar"/>
    <w:uiPriority w:val="99"/>
    <w:semiHidden/>
    <w:unhideWhenUsed/>
    <w:qFormat/>
    <w:rsid w:val="003d3a42"/>
    <w:pPr>
      <w:spacing w:before="0" w:after="0"/>
    </w:pPr>
    <w:rPr>
      <w:rFonts w:ascii="Tahoma" w:hAnsi="Tahoma" w:cs="Tahoma"/>
      <w:sz w:val="16"/>
      <w:szCs w:val="16"/>
    </w:rPr>
  </w:style>
  <w:style w:type="paragraph" w:styleId="Publisheddate" w:customStyle="1">
    <w:name w:val="Published date"/>
    <w:basedOn w:val="Heading4"/>
    <w:link w:val="PublisheddateChar"/>
    <w:qFormat/>
    <w:rsid w:val="00e5122e"/>
    <w:pPr>
      <w:numPr>
        <w:ilvl w:val="0"/>
        <w:numId w:val="0"/>
      </w:numPr>
    </w:pPr>
    <w:rPr>
      <w:b w:val="false"/>
      <w:sz w:val="30"/>
    </w:rPr>
  </w:style>
  <w:style w:type="paragraph" w:styleId="Caption1">
    <w:name w:val="caption"/>
    <w:basedOn w:val="Normal"/>
    <w:next w:val="Normal"/>
    <w:unhideWhenUsed/>
    <w:qFormat/>
    <w:rsid w:val="00475356"/>
    <w:pPr>
      <w:spacing w:before="0" w:after="200"/>
    </w:pPr>
    <w:rPr>
      <w:i/>
      <w:iCs/>
      <w:color w:val="033F85" w:themeColor="text2"/>
      <w:sz w:val="18"/>
      <w:szCs w:val="18"/>
    </w:rPr>
  </w:style>
  <w:style w:type="paragraph" w:styleId="PlainText">
    <w:name w:val="Plain Text"/>
    <w:basedOn w:val="Normal"/>
    <w:link w:val="PlainTextChar"/>
    <w:uiPriority w:val="99"/>
    <w:unhideWhenUsed/>
    <w:qFormat/>
    <w:rsid w:val="009b4462"/>
    <w:pPr>
      <w:spacing w:before="0" w:after="0"/>
    </w:pPr>
    <w:rPr>
      <w:rFonts w:eastAsia="Arial" w:cs="Arial" w:eastAsiaTheme="minorHAnsi"/>
      <w:color w:val="auto"/>
      <w:sz w:val="22"/>
      <w:szCs w:val="22"/>
    </w:rPr>
  </w:style>
  <w:style w:type="paragraph" w:styleId="TableText" w:customStyle="1">
    <w:name w:val="Table Text"/>
    <w:basedOn w:val="Normal"/>
    <w:link w:val="TableTextChar"/>
    <w:qFormat/>
    <w:rsid w:val="00f17250"/>
    <w:pPr>
      <w:spacing w:before="120" w:after="120"/>
    </w:pPr>
    <w:rPr>
      <w:color w:val="auto"/>
      <w:sz w:val="21"/>
      <w:lang w:eastAsia="en-GB"/>
    </w:rPr>
  </w:style>
  <w:style w:type="paragraph" w:styleId="TableHeader" w:customStyle="1">
    <w:name w:val="Table Header"/>
    <w:basedOn w:val="Normal"/>
    <w:qFormat/>
    <w:rsid w:val="00f17250"/>
    <w:pPr>
      <w:tabs>
        <w:tab w:val="clear" w:pos="720"/>
        <w:tab w:val="right" w:pos="14580" w:leader="none"/>
      </w:tabs>
      <w:spacing w:before="60" w:after="60"/>
      <w:ind w:right="-108" w:hanging="0"/>
    </w:pPr>
    <w:rPr>
      <w:rFonts w:eastAsia="SimSun" w:cs="Arial"/>
      <w:b/>
      <w:bCs/>
      <w:color w:val="auto"/>
      <w:sz w:val="21"/>
      <w:lang w:val="en-US" w:eastAsia="en-GB"/>
    </w:rPr>
  </w:style>
  <w:style w:type="paragraph" w:styleId="Docmgmtheading" w:customStyle="1">
    <w:name w:val="Doc mgmt heading"/>
    <w:basedOn w:val="Normal"/>
    <w:link w:val="DocmgmtheadingChar"/>
    <w:qFormat/>
    <w:rsid w:val="000c04fc"/>
    <w:pPr>
      <w:spacing w:before="120" w:after="120"/>
    </w:pPr>
    <w:rPr>
      <w:b/>
      <w:color w:val="005EB8" w:themeColor="accent1"/>
      <w:sz w:val="42"/>
      <w:szCs w:val="42"/>
      <w:lang w:eastAsia="en-GB"/>
    </w:rPr>
  </w:style>
  <w:style w:type="paragraph" w:styleId="DocMgmtSubhead" w:customStyle="1">
    <w:name w:val="Doc Mgmt Subhead"/>
    <w:basedOn w:val="Docmgmtheading"/>
    <w:link w:val="DocMgmtSubheadChar"/>
    <w:qFormat/>
    <w:rsid w:val="000c04fc"/>
    <w:pPr/>
    <w:rPr>
      <w:rFonts w:eastAsia="MS Mincho"/>
      <w:spacing w:val="-6"/>
      <w:kern w:val="2"/>
      <w:sz w:val="35"/>
      <w14:ligatures w14:val="standardContextual"/>
    </w:rPr>
  </w:style>
  <w:style w:type="paragraph" w:styleId="Annotationtext">
    <w:name w:val="annotation text"/>
    <w:basedOn w:val="Normal"/>
    <w:link w:val="CommentTextChar"/>
    <w:uiPriority w:val="99"/>
    <w:semiHidden/>
    <w:unhideWhenUsed/>
    <w:qFormat/>
    <w:rsid w:val="009d6c8c"/>
    <w:pPr/>
    <w:rPr>
      <w:sz w:val="20"/>
      <w:szCs w:val="20"/>
    </w:rPr>
  </w:style>
  <w:style w:type="paragraph" w:styleId="Annotationsubject">
    <w:name w:val="annotation subject"/>
    <w:basedOn w:val="Annotationtext"/>
    <w:next w:val="Annotationtext"/>
    <w:link w:val="CommentSubjectChar"/>
    <w:uiPriority w:val="99"/>
    <w:semiHidden/>
    <w:unhideWhenUsed/>
    <w:qFormat/>
    <w:rsid w:val="009d6c8c"/>
    <w:pPr/>
    <w:rPr>
      <w:b/>
      <w:bCs/>
    </w:rPr>
  </w:style>
  <w:style w:type="paragraph" w:styleId="Revision">
    <w:name w:val="Revision"/>
    <w:uiPriority w:val="99"/>
    <w:semiHidden/>
    <w:qFormat/>
    <w:rsid w:val="00653966"/>
    <w:pPr>
      <w:widowControl/>
      <w:bidi w:val="0"/>
      <w:spacing w:before="0" w:after="0"/>
      <w:jc w:val="left"/>
    </w:pPr>
    <w:rPr>
      <w:rFonts w:ascii="Arial" w:hAnsi="Arial" w:eastAsia="Times New Roman" w:cs="Times New Roman"/>
      <w:color w:val="0F0F0F" w:themeColor="text1"/>
      <w:kern w:val="0"/>
      <w:sz w:val="24"/>
      <w:szCs w:val="24"/>
      <w:lang w:val="en-GB" w:eastAsia="en-US" w:bidi="ar-SA"/>
    </w:rPr>
  </w:style>
  <w:style w:type="paragraph" w:styleId="Footnote">
    <w:name w:val="Footnote Text"/>
    <w:basedOn w:val="Normal"/>
    <w:link w:val="FootnoteTextChar"/>
    <w:uiPriority w:val="99"/>
    <w:semiHidden/>
    <w:unhideWhenUsed/>
    <w:rsid w:val="004b2654"/>
    <w:pPr>
      <w:spacing w:before="0" w:after="0"/>
    </w:pPr>
    <w:rPr>
      <w:sz w:val="20"/>
      <w:szCs w:val="20"/>
    </w:rPr>
  </w:style>
  <w:style w:type="paragraph" w:styleId="Pa7" w:customStyle="1">
    <w:name w:val="Pa7"/>
    <w:basedOn w:val="Normal"/>
    <w:next w:val="Normal"/>
    <w:uiPriority w:val="99"/>
    <w:qFormat/>
    <w:rsid w:val="004b2654"/>
    <w:pPr>
      <w:spacing w:lineRule="atLeast" w:line="241" w:before="0" w:after="0"/>
    </w:pPr>
    <w:rPr>
      <w:rFonts w:ascii="Frutiger LT Std 45 Light" w:hAnsi="Frutiger LT Std 45 Light"/>
      <w:color w:val="auto"/>
    </w:rPr>
  </w:style>
  <w:style w:type="paragraph" w:styleId="NormalBold" w:customStyle="1">
    <w:name w:val="Normal Bold"/>
    <w:basedOn w:val="Normal"/>
    <w:next w:val="Normal"/>
    <w:link w:val="NormalBoldChar"/>
    <w:qFormat/>
    <w:rsid w:val="00501ad9"/>
    <w:pPr>
      <w:keepLines/>
      <w:tabs>
        <w:tab w:val="clear" w:pos="720"/>
        <w:tab w:val="right" w:pos="14580" w:leader="none"/>
      </w:tabs>
      <w:spacing w:before="120" w:after="120"/>
    </w:pPr>
    <w:rPr>
      <w:rFonts w:cs="Arial"/>
      <w:b/>
      <w:color w:val="auto"/>
      <w:szCs w:val="20"/>
    </w:rPr>
  </w:style>
  <w:style w:type="paragraph" w:styleId="NormalWeb">
    <w:name w:val="Normal (Web)"/>
    <w:basedOn w:val="Normal"/>
    <w:uiPriority w:val="99"/>
    <w:unhideWhenUsed/>
    <w:qFormat/>
    <w:rsid w:val="005d5a6a"/>
    <w:pPr>
      <w:spacing w:beforeAutospacing="1" w:afterAutospacing="1"/>
    </w:pPr>
    <w:rPr>
      <w:rFonts w:ascii="Times New Roman" w:hAnsi="Times New Roman"/>
      <w:color w:val="auto"/>
      <w:lang w:val="en-US"/>
    </w:rPr>
  </w:style>
  <w:style w:type="paragraph" w:styleId="StyleArial12ptCentered" w:customStyle="1">
    <w:name w:val="Style Arial 12 pt Centered"/>
    <w:basedOn w:val="Normal"/>
    <w:qFormat/>
    <w:rsid w:val="007341d8"/>
    <w:pPr>
      <w:spacing w:before="0" w:after="0"/>
      <w:jc w:val="center"/>
    </w:pPr>
    <w:rPr>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7535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3">
    <w:name w:val="Grid Table 1 Light Accent 3"/>
    <w:basedOn w:val="TableNormal"/>
    <w:uiPriority w:val="46"/>
    <w:rsid w:val="00475356"/>
    <w:tblPr>
      <w:tblStyleRowBandSize w:val="1"/>
      <w:tblStyleColBandSize w:val="1"/>
      <w:tblBorders>
        <w:top w:val="single" w:color="699DFF" w:themeColor="accent3" w:themeTint="66" w:sz="4" w:space="0"/>
        <w:left w:val="single" w:color="699DFF" w:themeColor="accent3" w:themeTint="66" w:sz="4" w:space="0"/>
        <w:bottom w:val="single" w:color="699DFF" w:themeColor="accent3" w:themeTint="66" w:sz="4" w:space="0"/>
        <w:right w:val="single" w:color="699DFF" w:themeColor="accent3" w:themeTint="66" w:sz="4" w:space="0"/>
        <w:insideH w:val="single" w:color="699DFF" w:themeColor="accent3" w:themeTint="66" w:sz="4" w:space="0"/>
        <w:insideV w:val="single" w:color="699DFF" w:themeColor="accent3" w:themeTint="66" w:sz="4" w:space="0"/>
      </w:tblBorders>
    </w:tblPr>
    <w:tblStylePr w:type="firstRow">
      <w:rPr>
        <w:b/>
        <w:bCs/>
      </w:rPr>
      <w:tblPr/>
      <w:tcPr>
        <w:tcBorders>
          <w:bottom w:val="single" w:color="1E6DFF" w:themeColor="accent3" w:sz="12" w:space="0"/>
        </w:tcBorders>
      </w:tcPr>
    </w:tblStylePr>
    <w:tblStylePr w:type="lastRow">
      <w:rPr>
        <w:b/>
        <w:bCs/>
      </w:rPr>
      <w:tblPr/>
      <w:tcPr>
        <w:tcBorders>
          <w:top w:val="double" w:color="1E6DFF" w:themeColor="accent3" w:sz="2" w:space="0"/>
        </w:tcBorders>
      </w:tcPr>
    </w:tblStylePr>
    <w:tblStylePr w:type="firstCol">
      <w:rPr>
        <w:b/>
        <w:bCs/>
      </w:rPr>
      <w:tblPr/>
    </w:tblStylePr>
    <w:tblStylePr w:type="lastCol">
      <w:rPr>
        <w:b/>
        <w:bCs/>
      </w:rPr>
      <w:tblPr/>
    </w:tblStylePr>
  </w:style>
  <w:style w:type="table" w:styleId="ListTable3-Accent1">
    <w:name w:val="List Table 3 Accent 1"/>
    <w:basedOn w:val="TableNormal"/>
    <w:uiPriority w:val="48"/>
    <w:rsid w:val="00365a09"/>
    <w:tblPr>
      <w:tblStyleRowBandSize w:val="1"/>
      <w:tblStyleColBandSize w:val="1"/>
      <w:tblBorders>
        <w:top w:val="single" w:color="005EB8" w:themeColor="accent1" w:sz="4" w:space="0"/>
        <w:left w:val="single" w:color="005EB8" w:themeColor="accent1" w:sz="4" w:space="0"/>
        <w:bottom w:val="single" w:color="005EB8" w:themeColor="accent1" w:sz="4" w:space="0"/>
        <w:right w:val="single" w:color="005EB8" w:themeColor="accent1" w:sz="4" w:space="0"/>
      </w:tblBorders>
    </w:tblPr>
    <w:tblStylePr w:type="firstRow">
      <w:rPr>
        <w:b/>
        <w:bCs/>
        <w:color w:val="FFFFFF" w:themeColor="background1"/>
      </w:rPr>
      <w:tblPr/>
      <w:tcPr>
        <w:shd w:val="clear" w:color="auto" w:fill="005EB8" w:themeFill="accent1"/>
      </w:tcPr>
    </w:tblStylePr>
    <w:tblStylePr w:type="lastRow">
      <w:rPr>
        <w:b/>
        <w:bCs/>
      </w:rPr>
      <w:tblPr/>
      <w:tcPr>
        <w:tcBorders>
          <w:top w:val="double" w:color="005EB8"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5EB8" w:themeColor="accent1" w:sz="4" w:space="0"/>
          <w:right w:val="single" w:color="005EB8" w:themeColor="accent1" w:sz="4" w:space="0"/>
        </w:tcBorders>
      </w:tcPr>
    </w:tblStylePr>
    <w:tblStylePr w:type="band1Horz">
      <w:tblPr/>
      <w:tcPr>
        <w:tcBorders>
          <w:top w:val="single" w:color="005EB8" w:themeColor="accent1" w:sz="4" w:space="0"/>
          <w:bottom w:val="single" w:color="005EB8"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5EB8" w:themeColor="accent1" w:sz="4" w:space="0"/>
          <w:left w:val="nil"/>
        </w:tcBorders>
      </w:tcPr>
    </w:tblStylePr>
    <w:tblStylePr w:type="swCell">
      <w:tblPr/>
      <w:tcPr>
        <w:tcBorders>
          <w:top w:val="double" w:color="005EB8" w:themeColor="accent1" w:sz="4" w:space="0"/>
          <w:right w:val="nil"/>
        </w:tcBorders>
      </w:tcPr>
    </w:tblStylePr>
  </w:style>
  <w:style w:type="table" w:customStyle="1" w:styleId="LightList-Accent11">
    <w:name w:val="Light List - Accent 11"/>
    <w:basedOn w:val="TableNormal"/>
    <w:uiPriority w:val="61"/>
    <w:rsid w:val="00490d96"/>
    <w:rPr>
      <w:rFonts w:asciiTheme="minorHAnsi" w:hAnsiTheme="minorHAnsi" w:eastAsiaTheme="minorEastAsia" w:cstheme="minorBidi"/>
      <w:lang w:eastAsia="en-GB"/>
      <w:sz w:val="22"/>
      <w:szCs w:val="22"/>
    </w:rPr>
    <w:tblPr>
      <w:tblStyleRowBandSize w:val="1"/>
      <w:tblStyleColBandSize w:val="1"/>
      <w:tblBorders>
        <w:top w:val="single" w:color="005EB8" w:themeColor="accent1" w:sz="8" w:space="0"/>
        <w:left w:val="single" w:color="005EB8" w:themeColor="accent1" w:sz="8" w:space="0"/>
        <w:bottom w:val="single" w:color="005EB8" w:themeColor="accent1" w:sz="8" w:space="0"/>
        <w:right w:val="single" w:color="005EB8" w:themeColor="accent1" w:sz="8" w:space="0"/>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color="005EB8" w:themeColor="accent1" w:sz="6" w:space="0"/>
          <w:left w:val="single" w:color="005EB8" w:themeColor="accent1" w:sz="8" w:space="0"/>
          <w:bottom w:val="single" w:color="005EB8" w:themeColor="accent1" w:sz="8" w:space="0"/>
          <w:right w:val="single" w:color="005EB8" w:themeColor="accent1" w:sz="8" w:space="0"/>
        </w:tcBorders>
      </w:tcPr>
    </w:tblStylePr>
    <w:tblStylePr w:type="firstCol">
      <w:rPr>
        <w:b/>
        <w:bCs/>
      </w:rPr>
      <w:tblPr/>
    </w:tblStylePr>
    <w:tblStylePr w:type="lastCol">
      <w:rPr>
        <w:b/>
        <w:bCs/>
      </w:rPr>
      <w:tblPr/>
    </w:tblStylePr>
    <w:tblStylePr w:type="band1Vert">
      <w:tblPr/>
      <w:tcPr>
        <w:tcBorders>
          <w:top w:val="single" w:color="005EB8" w:themeColor="accent1" w:sz="8" w:space="0"/>
          <w:left w:val="single" w:color="005EB8" w:themeColor="accent1" w:sz="8" w:space="0"/>
          <w:bottom w:val="single" w:color="005EB8" w:themeColor="accent1" w:sz="8" w:space="0"/>
          <w:right w:val="single" w:color="005EB8" w:themeColor="accent1" w:sz="8" w:space="0"/>
        </w:tcBorders>
      </w:tcPr>
    </w:tblStylePr>
    <w:tblStylePr w:type="band1Horz">
      <w:tblPr/>
      <w:tcPr>
        <w:tcBorders>
          <w:top w:val="single" w:color="005EB8" w:themeColor="accent1" w:sz="8" w:space="0"/>
          <w:left w:val="single" w:color="005EB8" w:themeColor="accent1" w:sz="8" w:space="0"/>
          <w:bottom w:val="single" w:color="005EB8" w:themeColor="accent1" w:sz="8" w:space="0"/>
          <w:right w:val="single" w:color="005EB8" w:themeColor="accent1" w:sz="8" w:space="0"/>
        </w:tcBorders>
      </w:tcPr>
    </w:tblStylePr>
  </w:style>
  <w:style w:type="table" w:styleId="ListTable3">
    <w:name w:val="List Table 3"/>
    <w:basedOn w:val="TableNormal"/>
    <w:uiPriority w:val="48"/>
    <w:rsid w:val="0014631b"/>
    <w:tblPr>
      <w:tblStyleRowBandSize w:val="1"/>
      <w:tblStyleColBandSize w:val="1"/>
      <w:tblBorders>
        <w:top w:val="single" w:color="0F0F0F" w:themeColor="text1" w:sz="4" w:space="0"/>
        <w:left w:val="single" w:color="0F0F0F" w:themeColor="text1" w:sz="4" w:space="0"/>
        <w:bottom w:val="single" w:color="0F0F0F" w:themeColor="text1" w:sz="4" w:space="0"/>
        <w:right w:val="single" w:color="0F0F0F" w:themeColor="text1" w:sz="4" w:space="0"/>
      </w:tblBorders>
    </w:tblPr>
    <w:tblStylePr w:type="firstRow">
      <w:rPr>
        <w:b/>
        <w:bCs/>
        <w:color w:val="FFFFFF" w:themeColor="background1"/>
      </w:rPr>
      <w:tblPr/>
      <w:tcPr>
        <w:shd w:val="clear" w:color="auto" w:fill="0F0F0F" w:themeFill="text1"/>
      </w:tcPr>
    </w:tblStylePr>
    <w:tblStylePr w:type="lastRow">
      <w:rPr>
        <w:b/>
        <w:bCs/>
      </w:rPr>
      <w:tblPr/>
      <w:tcPr>
        <w:tcBorders>
          <w:top w:val="double" w:color="0F0F0F"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F0F0F" w:themeColor="text1" w:sz="4" w:space="0"/>
          <w:right w:val="single" w:color="0F0F0F" w:themeColor="text1" w:sz="4" w:space="0"/>
        </w:tcBorders>
      </w:tcPr>
    </w:tblStylePr>
    <w:tblStylePr w:type="band1Horz">
      <w:tblPr/>
      <w:tcPr>
        <w:tcBorders>
          <w:top w:val="single" w:color="0F0F0F" w:themeColor="text1" w:sz="4" w:space="0"/>
          <w:bottom w:val="single" w:color="0F0F0F"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F0F0F" w:themeColor="text1" w:sz="4" w:space="0"/>
          <w:left w:val="nil"/>
        </w:tcBorders>
      </w:tcPr>
    </w:tblStylePr>
    <w:tblStylePr w:type="swCell">
      <w:tblPr/>
      <w:tcPr>
        <w:tcBorders>
          <w:top w:val="double" w:color="0F0F0F" w:themeColor="text1" w:sz="4" w:space="0"/>
          <w:right w:val="nil"/>
        </w:tcBorders>
      </w:tcPr>
    </w:tblStylePr>
  </w:style>
  <w:style w:type="table" w:customStyle="1" w:styleId="Style1">
    <w:name w:val="Style1"/>
    <w:basedOn w:val="TableNormal"/>
    <w:uiPriority w:val="99"/>
    <w:rsid w:val="007341d8"/>
    <w:rPr>
      <w:rFonts w:asciiTheme="minorHAnsi" w:hAnsiTheme="minorHAnsi"/>
    </w:rPr>
    <w:tblPr>
      <w:tblBorders>
        <w:top w:val="single" w:color="699DFF" w:themeColor="accent3" w:themeTint="66" w:sz="2" w:space="0"/>
        <w:bottom w:val="single" w:color="699DFF" w:themeColor="accent3" w:themeTint="66" w:sz="2" w:space="0"/>
        <w:insideH w:val="single" w:color="699DFF" w:themeColor="accent3" w:themeTint="66" w:sz="2" w:space="0"/>
      </w:tblBorders>
    </w:tblPr>
    <w:tblStylePr w:type="firstRow">
      <w:tblPr/>
      <w:tcPr>
        <w:tcBorders>
          <w:top w:val="single" w:color="033F85" w:themeColor="text2" w:sz="2" w:space="0"/>
          <w:left w:val="nil"/>
          <w:bottom w:val="single" w:color="033F85" w:themeColor="text2" w:sz="2" w:space="0"/>
          <w:right w:val="nil"/>
          <w:insideH w:val="nil"/>
          <w:insideV w:val="nil"/>
          <w:tl2br w:val="nil"/>
          <w:tr2bl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hyperlink" Target="https://digital.nhs.uk/services/spine" TargetMode="External"/><Relationship Id="rId8" Type="http://schemas.openxmlformats.org/officeDocument/2006/relationships/hyperlink" Target="https://developer.nhs.uk/apis/ems-beta/" TargetMode="External"/><Relationship Id="rId9" Type="http://schemas.openxmlformats.org/officeDocument/2006/relationships/image" Target="media/image4.png"/><Relationship Id="rId10" Type="http://schemas.openxmlformats.org/officeDocument/2006/relationships/oleObject" Target="embeddings/oleObject1.bin"/><Relationship Id="rId11" Type="http://schemas.openxmlformats.org/officeDocument/2006/relationships/image" Target="media/image5.wmf"/><Relationship Id="rId12" Type="http://schemas.openxmlformats.org/officeDocument/2006/relationships/hyperlink" Target="mailto:LS.iwg@nhs.net" TargetMode="External"/><Relationship Id="rId13" Type="http://schemas.openxmlformats.org/officeDocument/2006/relationships/hyperlink" Target="mailto:LS.iwg@nhs.net" TargetMode="External"/><Relationship Id="rId14" Type="http://schemas.openxmlformats.org/officeDocument/2006/relationships/hyperlink" Target="https://odsportal.hscic.gov.uk/Organisation/Search" TargetMode="External"/><Relationship Id="rId15" Type="http://schemas.openxmlformats.org/officeDocument/2006/relationships/hyperlink" Target="https://developer.nhs.uk/apis/spine-core/smartcards.html" TargetMode="External"/><Relationship Id="rId16" Type="http://schemas.openxmlformats.org/officeDocument/2006/relationships/hyperlink" Target="https://www.dsptoolkit.nhs.uk/" TargetMode="External"/><Relationship Id="rId17" Type="http://schemas.openxmlformats.org/officeDocument/2006/relationships/hyperlink" Target="https://developer.nhs.uk/apis/ems-beta/" TargetMode="External"/><Relationship Id="rId18" Type="http://schemas.openxmlformats.org/officeDocument/2006/relationships/hyperlink" Target="https://developer.nhs.uk/apis/ems-beta/overview_msg_architecture_feedback.html" TargetMode="External"/><Relationship Id="rId19" Type="http://schemas.openxmlformats.org/officeDocument/2006/relationships/hyperlink" Target="https://developer.nhs.uk/apis/ems-beta/overview_msg_architecture_sequencing.html" TargetMode="External"/><Relationship Id="rId20" Type="http://schemas.openxmlformats.org/officeDocument/2006/relationships/hyperlink" Target="https://developer.nhs.uk/apis/ems-beta/pds_birth_notification.html" TargetMode="External"/><Relationship Id="rId21" Type="http://schemas.openxmlformats.org/officeDocument/2006/relationships/hyperlink" Target="https://developer.nhs.uk/apis/ems-beta/pds_change_of_address.html" TargetMode="External"/><Relationship Id="rId22" Type="http://schemas.openxmlformats.org/officeDocument/2006/relationships/hyperlink" Target="https://developer.nhs.uk/apis/ems-beta/pds_change_of_gp.html" TargetMode="External"/><Relationship Id="rId23" Type="http://schemas.openxmlformats.org/officeDocument/2006/relationships/hyperlink" Target="https://developer.nhs.uk/apis/ems-beta/pds_death_notification.html" TargetMode="External"/><Relationship Id="rId24" Type="http://schemas.openxmlformats.org/officeDocument/2006/relationships/hyperlink" Target="https://developer.nhs.uk/apis/ems-beta/professional_contacts_1.html" TargetMode="External"/><Relationship Id="rId25" Type="http://schemas.openxmlformats.org/officeDocument/2006/relationships/hyperlink" Target="https://developer.nhs.uk/apis/ems-beta/vaccinations_1.html" TargetMode="External"/><Relationship Id="rId26" Type="http://schemas.openxmlformats.org/officeDocument/2006/relationships/hyperlink" Target="https://nhsconnect.github.io/Digital-Child-Health-CareConnect/explore_blood_spot_test_outcome.html" TargetMode="External"/><Relationship Id="rId27" Type="http://schemas.openxmlformats.org/officeDocument/2006/relationships/hyperlink" Target="https://nhsconnect.github.io/Digital-Child-Health-CareConnect/explore_newborn_hearing.html" TargetMode="External"/><Relationship Id="rId28" Type="http://schemas.openxmlformats.org/officeDocument/2006/relationships/hyperlink" Target="https://nhsconnect.github.io/Digital-Child-Health-CareConnect/explore_nipe_outcome.html" TargetMode="External"/><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diagramData" Target="diagrams/data12.xml"/><Relationship Id="rId32" Type="http://schemas.openxmlformats.org/officeDocument/2006/relationships/diagramLayout" Target="diagrams/layout12.xml"/><Relationship Id="rId33" Type="http://schemas.openxmlformats.org/officeDocument/2006/relationships/diagramQuickStyle" Target="diagrams/quickStyle12.xml"/><Relationship Id="rId34" Type="http://schemas.openxmlformats.org/officeDocument/2006/relationships/diagramColors" Target="diagrams/colors12.xml"/><Relationship Id="rId35" Type="http://schemas.microsoft.com/office/2007/relationships/diagramDrawing" Target="diagrams/drawing12.xml"/><Relationship Id="rId36" Type="http://schemas.openxmlformats.org/officeDocument/2006/relationships/hyperlink" Target="mailto:nrlnems@nhs.net" TargetMode="External"/><Relationship Id="rId37" Type="http://schemas.openxmlformats.org/officeDocument/2006/relationships/image" Target="media/image8.png"/><Relationship Id="rId38" Type="http://schemas.openxmlformats.org/officeDocument/2006/relationships/hyperlink" Target="https://digital.nhs.uk/services/path-to-live-environments/integration-environment" TargetMode="External"/><Relationship Id="rId39" Type="http://schemas.openxmlformats.org/officeDocument/2006/relationships/hyperlink" Target="mailto:platforms.supportdesk@nhs.net" TargetMode="External"/><Relationship Id="rId40" Type="http://schemas.openxmlformats.org/officeDocument/2006/relationships/hyperlink" Target="https://digital.nhs.uk/forms/manufacturer-product-version-registration-request" TargetMode="External"/><Relationship Id="rId41" Type="http://schemas.openxmlformats.org/officeDocument/2006/relationships/hyperlink" Target="https://digital.nhs.uk/forms/combined-endpoint-and-service-registration-request" TargetMode="External"/><Relationship Id="rId42" Type="http://schemas.openxmlformats.org/officeDocument/2006/relationships/hyperlink" Target="https://digital.nhs.uk/forms/dns-request-form-for-path-to-live-environments" TargetMode="External"/><Relationship Id="rId43" Type="http://schemas.openxmlformats.org/officeDocument/2006/relationships/hyperlink" Target="https://msg.int.spine2.ncrs.nhs.uk/STU3/DocumentReference" TargetMode="External"/><Relationship Id="rId44" Type="http://schemas.openxmlformats.org/officeDocument/2006/relationships/image" Target="media/image9.png"/><Relationship Id="rId45" Type="http://schemas.openxmlformats.org/officeDocument/2006/relationships/hyperlink" Target="mailto:nrlnems@nhs.net" TargetMode="External"/><Relationship Id="rId46" Type="http://schemas.openxmlformats.org/officeDocument/2006/relationships/image" Target="media/image10.wmf"/><Relationship Id="rId47" Type="http://schemas.openxmlformats.org/officeDocument/2006/relationships/image" Target="media/image11.wmf"/><Relationship Id="rId48" Type="http://schemas.openxmlformats.org/officeDocument/2006/relationships/hyperlink" Target="https://hscic365.sharepoint.com/sites/IP/National Record Locator Phase 2/Requirements/Processes and Guidance/ssd.nationalservicedesk@nhs.net" TargetMode="External"/><Relationship Id="rId49" Type="http://schemas.openxmlformats.org/officeDocument/2006/relationships/oleObject" Target="embeddings/oleObject2.bin"/><Relationship Id="rId50" Type="http://schemas.openxmlformats.org/officeDocument/2006/relationships/image" Target="media/image12.wmf"/><Relationship Id="rId51" Type="http://schemas.openxmlformats.org/officeDocument/2006/relationships/hyperlink" Target="mailto:platforms.supportdesk@nhs.net" TargetMode="External"/><Relationship Id="rId52" Type="http://schemas.openxmlformats.org/officeDocument/2006/relationships/image" Target="media/image13.wmf"/><Relationship Id="rId53" Type="http://schemas.openxmlformats.org/officeDocument/2006/relationships/image" Target="media/image14.wmf"/><Relationship Id="rId54" Type="http://schemas.openxmlformats.org/officeDocument/2006/relationships/image" Target="media/image15.wmf"/><Relationship Id="rId55" Type="http://schemas.openxmlformats.org/officeDocument/2006/relationships/image" Target="media/image16.wmf"/><Relationship Id="rId56" Type="http://schemas.openxmlformats.org/officeDocument/2006/relationships/image" Target="media/image17.wmf"/><Relationship Id="rId57" Type="http://schemas.openxmlformats.org/officeDocument/2006/relationships/image" Target="media/image18.wmf"/><Relationship Id="rId58" Type="http://schemas.openxmlformats.org/officeDocument/2006/relationships/image" Target="media/image19.wmf"/><Relationship Id="rId59" Type="http://schemas.openxmlformats.org/officeDocument/2006/relationships/image" Target="media/image20.wmf"/><Relationship Id="rId60" Type="http://schemas.openxmlformats.org/officeDocument/2006/relationships/image" Target="media/image21.wmf"/><Relationship Id="rId61" Type="http://schemas.openxmlformats.org/officeDocument/2006/relationships/hyperlink" Target="https://developer.nhs.uk/apis/ems-beta/" TargetMode="External"/><Relationship Id="rId62" Type="http://schemas.openxmlformats.org/officeDocument/2006/relationships/hyperlink" Target="https://developer.nhs.uk/apis/ems-beta/controller_catalogue.html" TargetMode="External"/><Relationship Id="rId63" Type="http://schemas.openxmlformats.org/officeDocument/2006/relationships/header" Target="header3.xml"/><Relationship Id="rId64" Type="http://schemas.openxmlformats.org/officeDocument/2006/relationships/footer" Target="footer3.xml"/><Relationship Id="rId65" Type="http://schemas.openxmlformats.org/officeDocument/2006/relationships/footnotes" Target="footnotes.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glossaryDocument" Target="glossary/document.xml"/><Relationship Id="rId71" Type="http://schemas.openxmlformats.org/officeDocument/2006/relationships/customXml" Target="../customXml/item1.xml"/><Relationship Id="rId72" Type="http://schemas.openxmlformats.org/officeDocument/2006/relationships/customXml" Target="../customXml/item2.xml"/><Relationship Id="rId73" Type="http://schemas.openxmlformats.org/officeDocument/2006/relationships/customXml" Target="../customXml/item3.xml"/><Relationship Id="rId74" Type="http://schemas.openxmlformats.org/officeDocument/2006/relationships/customXml" Target="../customXml/item4.xml"/><Relationship Id="rId75" Type="http://schemas.openxmlformats.org/officeDocument/2006/relationships/customXml" Target="../customXml/item5.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footnotes.xml.rels><?xml version="1.0" encoding="UTF-8"?>
<Relationships xmlns="http://schemas.openxmlformats.org/package/2006/relationships"><Relationship Id="rId1" Type="http://schemas.openxmlformats.org/officeDocument/2006/relationships/hyperlink" Target="https://developer.nhs.uk/" TargetMode="Externa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2.xml><?xml version="1.0" encoding="utf-8"?>
<dgm:dataModel xmlns:dgm="http://schemas.openxmlformats.org/drawingml/2006/diagram" xmlns:a="http://schemas.openxmlformats.org/drawingml/2006/main">
  <dgm:ptLst>
    <dgm:pt modelId="{F2D9BAD0-51B7-4240-9A45-0D7675F6A624}"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GB"/>
        </a:p>
      </dgm:t>
    </dgm:pt>
    <dgm:pt modelId="{50CA3167-928A-4071-BB14-4438C224A800}">
      <dgm:prSet phldrT="[Text]"/>
      <dgm:spPr/>
      <dgm:t>
        <a:bodyPr/>
        <a:lstStyle/>
        <a:p>
          <a:r>
            <a:rPr lang="en-GB"/>
            <a:t>Supplier</a:t>
          </a:r>
        </a:p>
      </dgm:t>
    </dgm:pt>
    <dgm:pt modelId="{5C98F90F-B6D9-49C8-A881-415D33660F51}" type="parTrans" cxnId="{3EED10F3-8291-4451-817A-3C51515F312C}">
      <dgm:prSet/>
      <dgm:spPr/>
      <dgm:t>
        <a:bodyPr/>
        <a:lstStyle/>
        <a:p>
          <a:endParaRPr lang="en-GB"/>
        </a:p>
      </dgm:t>
    </dgm:pt>
    <dgm:pt modelId="{141BB60A-7F19-4BB9-A98B-7B20F85BA28E}" type="sibTrans" cxnId="{3EED10F3-8291-4451-817A-3C51515F312C}">
      <dgm:prSet/>
      <dgm:spPr/>
      <dgm:t>
        <a:bodyPr/>
        <a:lstStyle/>
        <a:p>
          <a:endParaRPr lang="en-GB"/>
        </a:p>
      </dgm:t>
    </dgm:pt>
    <dgm:pt modelId="{3B316E99-336D-4CA7-ABCD-D73F0AF39BFE}">
      <dgm:prSet phldrT="[Text]"/>
      <dgm:spPr/>
      <dgm:t>
        <a:bodyPr/>
        <a:lstStyle/>
        <a:p>
          <a:r>
            <a:rPr lang="en-GB"/>
            <a:t>Complete Generic Subscriptions Request Template</a:t>
          </a:r>
        </a:p>
      </dgm:t>
    </dgm:pt>
    <dgm:pt modelId="{E231F7E4-37DE-4CAD-8FAD-6CDEBDB3DF00}" type="parTrans" cxnId="{A29A2397-E8A1-4B11-88CE-D0660E22FAEF}">
      <dgm:prSet/>
      <dgm:spPr/>
      <dgm:t>
        <a:bodyPr/>
        <a:lstStyle/>
        <a:p>
          <a:endParaRPr lang="en-GB"/>
        </a:p>
      </dgm:t>
    </dgm:pt>
    <dgm:pt modelId="{68E6E849-6228-4207-8069-9A9ED7F4218C}" type="sibTrans" cxnId="{A29A2397-E8A1-4B11-88CE-D0660E22FAEF}">
      <dgm:prSet/>
      <dgm:spPr/>
      <dgm:t>
        <a:bodyPr/>
        <a:lstStyle/>
        <a:p>
          <a:endParaRPr lang="en-GB"/>
        </a:p>
      </dgm:t>
    </dgm:pt>
    <dgm:pt modelId="{073EBDBB-09B9-4B42-A489-C4ABC4A13655}">
      <dgm:prSet phldrT="[Text]"/>
      <dgm:spPr/>
      <dgm:t>
        <a:bodyPr/>
        <a:lstStyle/>
        <a:p>
          <a:r>
            <a:rPr lang="en-GB"/>
            <a:t>Requesting Programme / Integrating Care Programme / Digital Delivery Centre</a:t>
          </a:r>
        </a:p>
      </dgm:t>
    </dgm:pt>
    <dgm:pt modelId="{6AFE51F8-E734-4B26-A8B3-00A7D63801A3}" type="parTrans" cxnId="{3B736E17-BF7D-498E-9923-D11A42EB3D5A}">
      <dgm:prSet/>
      <dgm:spPr/>
      <dgm:t>
        <a:bodyPr/>
        <a:lstStyle/>
        <a:p>
          <a:endParaRPr lang="en-GB"/>
        </a:p>
      </dgm:t>
    </dgm:pt>
    <dgm:pt modelId="{75C16F21-355B-415F-B21B-577711E1CB12}" type="sibTrans" cxnId="{3B736E17-BF7D-498E-9923-D11A42EB3D5A}">
      <dgm:prSet/>
      <dgm:spPr/>
      <dgm:t>
        <a:bodyPr/>
        <a:lstStyle/>
        <a:p>
          <a:endParaRPr lang="en-GB"/>
        </a:p>
      </dgm:t>
    </dgm:pt>
    <dgm:pt modelId="{6A52A151-6B60-4EF1-BBB4-105FA281ED27}">
      <dgm:prSet phldrT="[Text]"/>
      <dgm:spPr/>
      <dgm:t>
        <a:bodyPr/>
        <a:lstStyle/>
        <a:p>
          <a:r>
            <a:rPr lang="en-GB"/>
            <a:t>Manual Review of Generic Subscriptions Request Template</a:t>
          </a:r>
        </a:p>
      </dgm:t>
    </dgm:pt>
    <dgm:pt modelId="{C36E59FD-5B31-4581-A1D8-50FD9A527E2F}" type="parTrans" cxnId="{006A2D31-FBFE-4623-9622-B601D9A5BF97}">
      <dgm:prSet/>
      <dgm:spPr/>
      <dgm:t>
        <a:bodyPr/>
        <a:lstStyle/>
        <a:p>
          <a:endParaRPr lang="en-GB"/>
        </a:p>
      </dgm:t>
    </dgm:pt>
    <dgm:pt modelId="{88E5FFCA-503E-462B-97A7-58393A93A86D}" type="sibTrans" cxnId="{006A2D31-FBFE-4623-9622-B601D9A5BF97}">
      <dgm:prSet/>
      <dgm:spPr/>
      <dgm:t>
        <a:bodyPr/>
        <a:lstStyle/>
        <a:p>
          <a:endParaRPr lang="en-GB"/>
        </a:p>
      </dgm:t>
    </dgm:pt>
    <dgm:pt modelId="{2FDADF2D-0E7C-4C95-9F16-57E12ABCA4D1}">
      <dgm:prSet phldrT="[Text]"/>
      <dgm:spPr/>
      <dgm:t>
        <a:bodyPr/>
        <a:lstStyle/>
        <a:p>
          <a:r>
            <a:rPr lang="en-GB"/>
            <a:t>Digital Delivery Centre</a:t>
          </a:r>
        </a:p>
      </dgm:t>
    </dgm:pt>
    <dgm:pt modelId="{37A00080-B832-44AC-BDCC-322315C8953D}" type="parTrans" cxnId="{06FB29A6-C3B4-449A-B2D3-AC1E827BA9EF}">
      <dgm:prSet/>
      <dgm:spPr/>
      <dgm:t>
        <a:bodyPr/>
        <a:lstStyle/>
        <a:p>
          <a:endParaRPr lang="en-GB"/>
        </a:p>
      </dgm:t>
    </dgm:pt>
    <dgm:pt modelId="{2C19A361-8B3B-43D8-A2FC-974148D6C0B6}" type="sibTrans" cxnId="{06FB29A6-C3B4-449A-B2D3-AC1E827BA9EF}">
      <dgm:prSet/>
      <dgm:spPr/>
      <dgm:t>
        <a:bodyPr/>
        <a:lstStyle/>
        <a:p>
          <a:endParaRPr lang="en-GB"/>
        </a:p>
      </dgm:t>
    </dgm:pt>
    <dgm:pt modelId="{C51CD2AB-301A-41B8-85B6-9C3093B8970B}">
      <dgm:prSet phldrT="[Text]"/>
      <dgm:spPr/>
      <dgm:t>
        <a:bodyPr/>
        <a:lstStyle/>
        <a:p>
          <a:r>
            <a:rPr lang="en-GB"/>
            <a:t>Create Generic Subscriptions</a:t>
          </a:r>
        </a:p>
      </dgm:t>
    </dgm:pt>
    <dgm:pt modelId="{C168C641-578B-4AC6-B4B5-5383B7D8B6BA}" type="parTrans" cxnId="{113A5970-23FD-4825-84F7-61288044261C}">
      <dgm:prSet/>
      <dgm:spPr/>
      <dgm:t>
        <a:bodyPr/>
        <a:lstStyle/>
        <a:p>
          <a:endParaRPr lang="en-GB"/>
        </a:p>
      </dgm:t>
    </dgm:pt>
    <dgm:pt modelId="{B42EDF1A-1AD3-4902-8334-394D87484223}" type="sibTrans" cxnId="{113A5970-23FD-4825-84F7-61288044261C}">
      <dgm:prSet/>
      <dgm:spPr/>
      <dgm:t>
        <a:bodyPr/>
        <a:lstStyle/>
        <a:p>
          <a:endParaRPr lang="en-GB"/>
        </a:p>
      </dgm:t>
    </dgm:pt>
    <dgm:pt modelId="{43194602-3F18-4B78-9FEA-D53AD3AA5918}" type="pres">
      <dgm:prSet presAssocID="{F2D9BAD0-51B7-4240-9A45-0D7675F6A624}" presName="linearFlow" presStyleCnt="0">
        <dgm:presLayoutVars>
          <dgm:dir/>
          <dgm:animLvl val="lvl"/>
          <dgm:resizeHandles val="exact"/>
        </dgm:presLayoutVars>
      </dgm:prSet>
      <dgm:spPr/>
    </dgm:pt>
    <dgm:pt modelId="{4ADA504F-704A-482E-B90A-2C7E673D2434}" type="pres">
      <dgm:prSet presAssocID="{50CA3167-928A-4071-BB14-4438C224A800}" presName="composite" presStyleCnt="0"/>
      <dgm:spPr/>
    </dgm:pt>
    <dgm:pt modelId="{39921048-3120-4920-A19B-A7D6699CA57C}" type="pres">
      <dgm:prSet presAssocID="{50CA3167-928A-4071-BB14-4438C224A800}" presName="parTx" presStyleLbl="node1" presStyleIdx="0" presStyleCnt="3">
        <dgm:presLayoutVars>
          <dgm:chMax val="0"/>
          <dgm:chPref val="0"/>
          <dgm:bulletEnabled val="1"/>
        </dgm:presLayoutVars>
      </dgm:prSet>
      <dgm:spPr/>
    </dgm:pt>
    <dgm:pt modelId="{DBA7D4B5-1C5D-4F6E-9322-D822F1A536F5}" type="pres">
      <dgm:prSet presAssocID="{50CA3167-928A-4071-BB14-4438C224A800}" presName="parSh" presStyleLbl="node1" presStyleIdx="0" presStyleCnt="3"/>
      <dgm:spPr/>
    </dgm:pt>
    <dgm:pt modelId="{A2E4A7B5-350A-40AC-9A1E-8B090C5C7B6B}" type="pres">
      <dgm:prSet presAssocID="{50CA3167-928A-4071-BB14-4438C224A800}" presName="desTx" presStyleLbl="fgAcc1" presStyleIdx="0" presStyleCnt="3">
        <dgm:presLayoutVars>
          <dgm:bulletEnabled val="1"/>
        </dgm:presLayoutVars>
      </dgm:prSet>
      <dgm:spPr/>
    </dgm:pt>
    <dgm:pt modelId="{E84B087D-7F41-4B06-8E32-3BBA9426982B}" type="pres">
      <dgm:prSet presAssocID="{141BB60A-7F19-4BB9-A98B-7B20F85BA28E}" presName="sibTrans" presStyleLbl="sibTrans2D1" presStyleIdx="0" presStyleCnt="2"/>
      <dgm:spPr/>
    </dgm:pt>
    <dgm:pt modelId="{BF6EA460-69AE-4031-BBC8-F7EDB2C9B9B7}" type="pres">
      <dgm:prSet presAssocID="{141BB60A-7F19-4BB9-A98B-7B20F85BA28E}" presName="connTx" presStyleLbl="sibTrans2D1" presStyleIdx="0" presStyleCnt="2"/>
      <dgm:spPr/>
    </dgm:pt>
    <dgm:pt modelId="{61E60B8F-2B14-4988-A165-4A2B12F21744}" type="pres">
      <dgm:prSet presAssocID="{073EBDBB-09B9-4B42-A489-C4ABC4A13655}" presName="composite" presStyleCnt="0"/>
      <dgm:spPr/>
    </dgm:pt>
    <dgm:pt modelId="{852CF256-F71C-4E1C-A2A9-C2F88D5FBE15}" type="pres">
      <dgm:prSet presAssocID="{073EBDBB-09B9-4B42-A489-C4ABC4A13655}" presName="parTx" presStyleLbl="node1" presStyleIdx="0" presStyleCnt="3">
        <dgm:presLayoutVars>
          <dgm:chMax val="0"/>
          <dgm:chPref val="0"/>
          <dgm:bulletEnabled val="1"/>
        </dgm:presLayoutVars>
      </dgm:prSet>
      <dgm:spPr/>
    </dgm:pt>
    <dgm:pt modelId="{441677C5-D17D-42E0-8A41-E8712811739B}" type="pres">
      <dgm:prSet presAssocID="{073EBDBB-09B9-4B42-A489-C4ABC4A13655}" presName="parSh" presStyleLbl="node1" presStyleIdx="1" presStyleCnt="3"/>
      <dgm:spPr/>
    </dgm:pt>
    <dgm:pt modelId="{62FEF0E2-4B17-4073-985F-F0E32F37F076}" type="pres">
      <dgm:prSet presAssocID="{073EBDBB-09B9-4B42-A489-C4ABC4A13655}" presName="desTx" presStyleLbl="fgAcc1" presStyleIdx="1" presStyleCnt="3">
        <dgm:presLayoutVars>
          <dgm:bulletEnabled val="1"/>
        </dgm:presLayoutVars>
      </dgm:prSet>
      <dgm:spPr/>
    </dgm:pt>
    <dgm:pt modelId="{3750A3F2-9A69-46CF-BAA0-0F0C41CB1619}" type="pres">
      <dgm:prSet presAssocID="{75C16F21-355B-415F-B21B-577711E1CB12}" presName="sibTrans" presStyleLbl="sibTrans2D1" presStyleIdx="1" presStyleCnt="2"/>
      <dgm:spPr/>
    </dgm:pt>
    <dgm:pt modelId="{797A4753-505A-4B51-A5AC-CE6801C4B31A}" type="pres">
      <dgm:prSet presAssocID="{75C16F21-355B-415F-B21B-577711E1CB12}" presName="connTx" presStyleLbl="sibTrans2D1" presStyleIdx="1" presStyleCnt="2"/>
      <dgm:spPr/>
    </dgm:pt>
    <dgm:pt modelId="{AD66D9D9-E4B3-4206-B01B-AF5DD991944D}" type="pres">
      <dgm:prSet presAssocID="{2FDADF2D-0E7C-4C95-9F16-57E12ABCA4D1}" presName="composite" presStyleCnt="0"/>
      <dgm:spPr/>
    </dgm:pt>
    <dgm:pt modelId="{419AA27A-8592-4882-9049-D5D81001D7D4}" type="pres">
      <dgm:prSet presAssocID="{2FDADF2D-0E7C-4C95-9F16-57E12ABCA4D1}" presName="parTx" presStyleLbl="node1" presStyleIdx="1" presStyleCnt="3">
        <dgm:presLayoutVars>
          <dgm:chMax val="0"/>
          <dgm:chPref val="0"/>
          <dgm:bulletEnabled val="1"/>
        </dgm:presLayoutVars>
      </dgm:prSet>
      <dgm:spPr/>
    </dgm:pt>
    <dgm:pt modelId="{968AE1EF-61BF-485A-8E35-FA89EE3D6F6F}" type="pres">
      <dgm:prSet presAssocID="{2FDADF2D-0E7C-4C95-9F16-57E12ABCA4D1}" presName="parSh" presStyleLbl="node1" presStyleIdx="2" presStyleCnt="3"/>
      <dgm:spPr/>
    </dgm:pt>
    <dgm:pt modelId="{63CE91FC-C985-4195-A136-02C143AABED2}" type="pres">
      <dgm:prSet presAssocID="{2FDADF2D-0E7C-4C95-9F16-57E12ABCA4D1}" presName="desTx" presStyleLbl="fgAcc1" presStyleIdx="2" presStyleCnt="3">
        <dgm:presLayoutVars>
          <dgm:bulletEnabled val="1"/>
        </dgm:presLayoutVars>
      </dgm:prSet>
      <dgm:spPr/>
    </dgm:pt>
  </dgm:ptLst>
  <dgm:cxnLst>
    <dgm:cxn modelId="{B438730D-3D05-42B1-BC4C-8D859F8F216B}" type="presOf" srcId="{3B316E99-336D-4CA7-ABCD-D73F0AF39BFE}" destId="{A2E4A7B5-350A-40AC-9A1E-8B090C5C7B6B}" srcOrd="0" destOrd="0" presId="urn:microsoft.com/office/officeart/2005/8/layout/process3"/>
    <dgm:cxn modelId="{3B736E17-BF7D-498E-9923-D11A42EB3D5A}" srcId="{F2D9BAD0-51B7-4240-9A45-0D7675F6A624}" destId="{073EBDBB-09B9-4B42-A489-C4ABC4A13655}" srcOrd="1" destOrd="0" parTransId="{6AFE51F8-E734-4B26-A8B3-00A7D63801A3}" sibTransId="{75C16F21-355B-415F-B21B-577711E1CB12}"/>
    <dgm:cxn modelId="{C6C41F25-3E58-47B3-9878-F19221876D90}" type="presOf" srcId="{073EBDBB-09B9-4B42-A489-C4ABC4A13655}" destId="{852CF256-F71C-4E1C-A2A9-C2F88D5FBE15}" srcOrd="0" destOrd="0" presId="urn:microsoft.com/office/officeart/2005/8/layout/process3"/>
    <dgm:cxn modelId="{006A2D31-FBFE-4623-9622-B601D9A5BF97}" srcId="{073EBDBB-09B9-4B42-A489-C4ABC4A13655}" destId="{6A52A151-6B60-4EF1-BBB4-105FA281ED27}" srcOrd="0" destOrd="0" parTransId="{C36E59FD-5B31-4581-A1D8-50FD9A527E2F}" sibTransId="{88E5FFCA-503E-462B-97A7-58393A93A86D}"/>
    <dgm:cxn modelId="{1126603A-5212-48F7-A275-640D3586F9B4}" type="presOf" srcId="{141BB60A-7F19-4BB9-A98B-7B20F85BA28E}" destId="{E84B087D-7F41-4B06-8E32-3BBA9426982B}" srcOrd="0" destOrd="0" presId="urn:microsoft.com/office/officeart/2005/8/layout/process3"/>
    <dgm:cxn modelId="{FAD7BA3E-194A-4E6C-AF8A-6786A7BC8AAF}" type="presOf" srcId="{50CA3167-928A-4071-BB14-4438C224A800}" destId="{DBA7D4B5-1C5D-4F6E-9322-D822F1A536F5}" srcOrd="1" destOrd="0" presId="urn:microsoft.com/office/officeart/2005/8/layout/process3"/>
    <dgm:cxn modelId="{6FFC3849-4879-4B7E-AE09-4358CBE2BBE3}" type="presOf" srcId="{50CA3167-928A-4071-BB14-4438C224A800}" destId="{39921048-3120-4920-A19B-A7D6699CA57C}" srcOrd="0" destOrd="0" presId="urn:microsoft.com/office/officeart/2005/8/layout/process3"/>
    <dgm:cxn modelId="{EBA07C6A-4B6D-4F5D-93D0-AF9711BCCB1D}" type="presOf" srcId="{C51CD2AB-301A-41B8-85B6-9C3093B8970B}" destId="{63CE91FC-C985-4195-A136-02C143AABED2}" srcOrd="0" destOrd="0" presId="urn:microsoft.com/office/officeart/2005/8/layout/process3"/>
    <dgm:cxn modelId="{98493F6C-71A9-4A2F-B8D3-A54EACA19C39}" type="presOf" srcId="{2FDADF2D-0E7C-4C95-9F16-57E12ABCA4D1}" destId="{968AE1EF-61BF-485A-8E35-FA89EE3D6F6F}" srcOrd="1" destOrd="0" presId="urn:microsoft.com/office/officeart/2005/8/layout/process3"/>
    <dgm:cxn modelId="{113A5970-23FD-4825-84F7-61288044261C}" srcId="{2FDADF2D-0E7C-4C95-9F16-57E12ABCA4D1}" destId="{C51CD2AB-301A-41B8-85B6-9C3093B8970B}" srcOrd="0" destOrd="0" parTransId="{C168C641-578B-4AC6-B4B5-5383B7D8B6BA}" sibTransId="{B42EDF1A-1AD3-4902-8334-394D87484223}"/>
    <dgm:cxn modelId="{B08E2389-8E93-4CFC-854B-DF5822805C0A}" type="presOf" srcId="{2FDADF2D-0E7C-4C95-9F16-57E12ABCA4D1}" destId="{419AA27A-8592-4882-9049-D5D81001D7D4}" srcOrd="0" destOrd="0" presId="urn:microsoft.com/office/officeart/2005/8/layout/process3"/>
    <dgm:cxn modelId="{A29A2397-E8A1-4B11-88CE-D0660E22FAEF}" srcId="{50CA3167-928A-4071-BB14-4438C224A800}" destId="{3B316E99-336D-4CA7-ABCD-D73F0AF39BFE}" srcOrd="0" destOrd="0" parTransId="{E231F7E4-37DE-4CAD-8FAD-6CDEBDB3DF00}" sibTransId="{68E6E849-6228-4207-8069-9A9ED7F4218C}"/>
    <dgm:cxn modelId="{06FB29A6-C3B4-449A-B2D3-AC1E827BA9EF}" srcId="{F2D9BAD0-51B7-4240-9A45-0D7675F6A624}" destId="{2FDADF2D-0E7C-4C95-9F16-57E12ABCA4D1}" srcOrd="2" destOrd="0" parTransId="{37A00080-B832-44AC-BDCC-322315C8953D}" sibTransId="{2C19A361-8B3B-43D8-A2FC-974148D6C0B6}"/>
    <dgm:cxn modelId="{CE80B3AA-257E-435F-877A-BFD3D592E6DB}" type="presOf" srcId="{75C16F21-355B-415F-B21B-577711E1CB12}" destId="{797A4753-505A-4B51-A5AC-CE6801C4B31A}" srcOrd="1" destOrd="0" presId="urn:microsoft.com/office/officeart/2005/8/layout/process3"/>
    <dgm:cxn modelId="{F05842B9-AB37-45C2-BDCC-5E48FCD88D40}" type="presOf" srcId="{141BB60A-7F19-4BB9-A98B-7B20F85BA28E}" destId="{BF6EA460-69AE-4031-BBC8-F7EDB2C9B9B7}" srcOrd="1" destOrd="0" presId="urn:microsoft.com/office/officeart/2005/8/layout/process3"/>
    <dgm:cxn modelId="{4AE7CACF-021C-4BF0-BEBD-E32EC48FFDA9}" type="presOf" srcId="{75C16F21-355B-415F-B21B-577711E1CB12}" destId="{3750A3F2-9A69-46CF-BAA0-0F0C41CB1619}" srcOrd="0" destOrd="0" presId="urn:microsoft.com/office/officeart/2005/8/layout/process3"/>
    <dgm:cxn modelId="{6DD8C7DF-EBFB-4D6F-AF8B-6005DB552809}" type="presOf" srcId="{6A52A151-6B60-4EF1-BBB4-105FA281ED27}" destId="{62FEF0E2-4B17-4073-985F-F0E32F37F076}" srcOrd="0" destOrd="0" presId="urn:microsoft.com/office/officeart/2005/8/layout/process3"/>
    <dgm:cxn modelId="{3BE9D5EC-6F70-477D-AF17-C8FA01E8338D}" type="presOf" srcId="{F2D9BAD0-51B7-4240-9A45-0D7675F6A624}" destId="{43194602-3F18-4B78-9FEA-D53AD3AA5918}" srcOrd="0" destOrd="0" presId="urn:microsoft.com/office/officeart/2005/8/layout/process3"/>
    <dgm:cxn modelId="{E49630F0-C0AB-457E-9078-E610DF8FBA7E}" type="presOf" srcId="{073EBDBB-09B9-4B42-A489-C4ABC4A13655}" destId="{441677C5-D17D-42E0-8A41-E8712811739B}" srcOrd="1" destOrd="0" presId="urn:microsoft.com/office/officeart/2005/8/layout/process3"/>
    <dgm:cxn modelId="{3EED10F3-8291-4451-817A-3C51515F312C}" srcId="{F2D9BAD0-51B7-4240-9A45-0D7675F6A624}" destId="{50CA3167-928A-4071-BB14-4438C224A800}" srcOrd="0" destOrd="0" parTransId="{5C98F90F-B6D9-49C8-A881-415D33660F51}" sibTransId="{141BB60A-7F19-4BB9-A98B-7B20F85BA28E}"/>
    <dgm:cxn modelId="{F2C5AF5F-9359-4E36-936E-FA88719256C0}" type="presParOf" srcId="{43194602-3F18-4B78-9FEA-D53AD3AA5918}" destId="{4ADA504F-704A-482E-B90A-2C7E673D2434}" srcOrd="0" destOrd="0" presId="urn:microsoft.com/office/officeart/2005/8/layout/process3"/>
    <dgm:cxn modelId="{E467ABBE-EFB1-4F3C-BE4F-07E41AF10FC4}" type="presParOf" srcId="{4ADA504F-704A-482E-B90A-2C7E673D2434}" destId="{39921048-3120-4920-A19B-A7D6699CA57C}" srcOrd="0" destOrd="0" presId="urn:microsoft.com/office/officeart/2005/8/layout/process3"/>
    <dgm:cxn modelId="{BD189E76-4C61-4822-B9A0-C03E6BF7C26C}" type="presParOf" srcId="{4ADA504F-704A-482E-B90A-2C7E673D2434}" destId="{DBA7D4B5-1C5D-4F6E-9322-D822F1A536F5}" srcOrd="1" destOrd="0" presId="urn:microsoft.com/office/officeart/2005/8/layout/process3"/>
    <dgm:cxn modelId="{4EBD4201-C781-4424-8C9E-E89B17CB6055}" type="presParOf" srcId="{4ADA504F-704A-482E-B90A-2C7E673D2434}" destId="{A2E4A7B5-350A-40AC-9A1E-8B090C5C7B6B}" srcOrd="2" destOrd="0" presId="urn:microsoft.com/office/officeart/2005/8/layout/process3"/>
    <dgm:cxn modelId="{BBD380C6-D072-492B-AE20-84601EC11A8A}" type="presParOf" srcId="{43194602-3F18-4B78-9FEA-D53AD3AA5918}" destId="{E84B087D-7F41-4B06-8E32-3BBA9426982B}" srcOrd="1" destOrd="0" presId="urn:microsoft.com/office/officeart/2005/8/layout/process3"/>
    <dgm:cxn modelId="{196C0F61-BE9B-409E-B216-C8DDABF78B45}" type="presParOf" srcId="{E84B087D-7F41-4B06-8E32-3BBA9426982B}" destId="{BF6EA460-69AE-4031-BBC8-F7EDB2C9B9B7}" srcOrd="0" destOrd="0" presId="urn:microsoft.com/office/officeart/2005/8/layout/process3"/>
    <dgm:cxn modelId="{8788C0E5-E5D0-4147-8B5F-B87AF36E80C1}" type="presParOf" srcId="{43194602-3F18-4B78-9FEA-D53AD3AA5918}" destId="{61E60B8F-2B14-4988-A165-4A2B12F21744}" srcOrd="2" destOrd="0" presId="urn:microsoft.com/office/officeart/2005/8/layout/process3"/>
    <dgm:cxn modelId="{01FB55D8-162D-47E8-A641-A7E0A138C39B}" type="presParOf" srcId="{61E60B8F-2B14-4988-A165-4A2B12F21744}" destId="{852CF256-F71C-4E1C-A2A9-C2F88D5FBE15}" srcOrd="0" destOrd="0" presId="urn:microsoft.com/office/officeart/2005/8/layout/process3"/>
    <dgm:cxn modelId="{EE136298-3843-49BE-AF26-85FD8E9CF81A}" type="presParOf" srcId="{61E60B8F-2B14-4988-A165-4A2B12F21744}" destId="{441677C5-D17D-42E0-8A41-E8712811739B}" srcOrd="1" destOrd="0" presId="urn:microsoft.com/office/officeart/2005/8/layout/process3"/>
    <dgm:cxn modelId="{BFF68297-7387-43AD-A4B7-0019A1B390E7}" type="presParOf" srcId="{61E60B8F-2B14-4988-A165-4A2B12F21744}" destId="{62FEF0E2-4B17-4073-985F-F0E32F37F076}" srcOrd="2" destOrd="0" presId="urn:microsoft.com/office/officeart/2005/8/layout/process3"/>
    <dgm:cxn modelId="{1AA42817-0521-4693-A0B5-F7B1D45E7AFB}" type="presParOf" srcId="{43194602-3F18-4B78-9FEA-D53AD3AA5918}" destId="{3750A3F2-9A69-46CF-BAA0-0F0C41CB1619}" srcOrd="3" destOrd="0" presId="urn:microsoft.com/office/officeart/2005/8/layout/process3"/>
    <dgm:cxn modelId="{B1E82C81-828C-4D5C-821F-4EF606AEA244}" type="presParOf" srcId="{3750A3F2-9A69-46CF-BAA0-0F0C41CB1619}" destId="{797A4753-505A-4B51-A5AC-CE6801C4B31A}" srcOrd="0" destOrd="0" presId="urn:microsoft.com/office/officeart/2005/8/layout/process3"/>
    <dgm:cxn modelId="{AD62D983-852D-451E-8D41-62026C229E28}" type="presParOf" srcId="{43194602-3F18-4B78-9FEA-D53AD3AA5918}" destId="{AD66D9D9-E4B3-4206-B01B-AF5DD991944D}" srcOrd="4" destOrd="0" presId="urn:microsoft.com/office/officeart/2005/8/layout/process3"/>
    <dgm:cxn modelId="{32E59E72-B3DC-4A22-A7CA-ECE62FAB2053}" type="presParOf" srcId="{AD66D9D9-E4B3-4206-B01B-AF5DD991944D}" destId="{419AA27A-8592-4882-9049-D5D81001D7D4}" srcOrd="0" destOrd="0" presId="urn:microsoft.com/office/officeart/2005/8/layout/process3"/>
    <dgm:cxn modelId="{58E6DA84-47BF-46DF-B268-FDAB7D03C290}" type="presParOf" srcId="{AD66D9D9-E4B3-4206-B01B-AF5DD991944D}" destId="{968AE1EF-61BF-485A-8E35-FA89EE3D6F6F}" srcOrd="1" destOrd="0" presId="urn:microsoft.com/office/officeart/2005/8/layout/process3"/>
    <dgm:cxn modelId="{6F1C5365-ECF0-4FD4-90F6-F0502A7A13D2}" type="presParOf" srcId="{AD66D9D9-E4B3-4206-B01B-AF5DD991944D}" destId="{63CE91FC-C985-4195-A136-02C143AABED2}" srcOrd="2" destOrd="0" presId="urn:microsoft.com/office/officeart/2005/8/layout/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7D4B5-1C5D-4F6E-9322-D822F1A536F5}">
      <dsp:nvSpPr>
        <dsp:cNvPr id="0" name=""/>
        <dsp:cNvSpPr/>
      </dsp:nvSpPr>
      <dsp:spPr>
        <a:xfrm>
          <a:off x="3115" y="235976"/>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Supplier</a:t>
          </a:r>
        </a:p>
      </dsp:txBody>
      <dsp:txXfrm>
        <a:off x="3115" y="235976"/>
        <a:ext cx="1416475" cy="409001"/>
      </dsp:txXfrm>
    </dsp:sp>
    <dsp:sp modelId="{A2E4A7B5-350A-40AC-9A1E-8B090C5C7B6B}">
      <dsp:nvSpPr>
        <dsp:cNvPr id="0" name=""/>
        <dsp:cNvSpPr/>
      </dsp:nvSpPr>
      <dsp:spPr>
        <a:xfrm>
          <a:off x="293236" y="644978"/>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Complete Generic Subscriptions Request Template</a:t>
          </a:r>
        </a:p>
      </dsp:txBody>
      <dsp:txXfrm>
        <a:off x="306732" y="658474"/>
        <a:ext cx="1389483" cy="433808"/>
      </dsp:txXfrm>
    </dsp:sp>
    <dsp:sp modelId="{E84B087D-7F41-4B06-8E32-3BBA9426982B}">
      <dsp:nvSpPr>
        <dsp:cNvPr id="0" name=""/>
        <dsp:cNvSpPr/>
      </dsp:nvSpPr>
      <dsp:spPr>
        <a:xfrm>
          <a:off x="1634323" y="264146"/>
          <a:ext cx="455233" cy="3526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634323" y="334678"/>
        <a:ext cx="349435" cy="211597"/>
      </dsp:txXfrm>
    </dsp:sp>
    <dsp:sp modelId="{441677C5-D17D-42E0-8A41-E8712811739B}">
      <dsp:nvSpPr>
        <dsp:cNvPr id="0" name=""/>
        <dsp:cNvSpPr/>
      </dsp:nvSpPr>
      <dsp:spPr>
        <a:xfrm>
          <a:off x="2278521" y="235976"/>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Requesting Programme / Integrating Care Programme / Digital Delivery Centre</a:t>
          </a:r>
        </a:p>
      </dsp:txBody>
      <dsp:txXfrm>
        <a:off x="2278521" y="235976"/>
        <a:ext cx="1416475" cy="409001"/>
      </dsp:txXfrm>
    </dsp:sp>
    <dsp:sp modelId="{62FEF0E2-4B17-4073-985F-F0E32F37F076}">
      <dsp:nvSpPr>
        <dsp:cNvPr id="0" name=""/>
        <dsp:cNvSpPr/>
      </dsp:nvSpPr>
      <dsp:spPr>
        <a:xfrm>
          <a:off x="2568642" y="644978"/>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Manual Review of Generic Subscriptions Request Template</a:t>
          </a:r>
        </a:p>
      </dsp:txBody>
      <dsp:txXfrm>
        <a:off x="2582138" y="658474"/>
        <a:ext cx="1389483" cy="433808"/>
      </dsp:txXfrm>
    </dsp:sp>
    <dsp:sp modelId="{3750A3F2-9A69-46CF-BAA0-0F0C41CB1619}">
      <dsp:nvSpPr>
        <dsp:cNvPr id="0" name=""/>
        <dsp:cNvSpPr/>
      </dsp:nvSpPr>
      <dsp:spPr>
        <a:xfrm>
          <a:off x="3909729" y="264146"/>
          <a:ext cx="455233" cy="3526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909729" y="334678"/>
        <a:ext cx="349435" cy="211597"/>
      </dsp:txXfrm>
    </dsp:sp>
    <dsp:sp modelId="{968AE1EF-61BF-485A-8E35-FA89EE3D6F6F}">
      <dsp:nvSpPr>
        <dsp:cNvPr id="0" name=""/>
        <dsp:cNvSpPr/>
      </dsp:nvSpPr>
      <dsp:spPr>
        <a:xfrm>
          <a:off x="4553927" y="235976"/>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Digital Delivery Centre</a:t>
          </a:r>
        </a:p>
      </dsp:txBody>
      <dsp:txXfrm>
        <a:off x="4553927" y="235976"/>
        <a:ext cx="1416475" cy="409001"/>
      </dsp:txXfrm>
    </dsp:sp>
    <dsp:sp modelId="{63CE91FC-C985-4195-A136-02C143AABED2}">
      <dsp:nvSpPr>
        <dsp:cNvPr id="0" name=""/>
        <dsp:cNvSpPr/>
      </dsp:nvSpPr>
      <dsp:spPr>
        <a:xfrm>
          <a:off x="4844048" y="644978"/>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Create Generic Subscriptions</a:t>
          </a:r>
        </a:p>
      </dsp:txBody>
      <dsp:txXfrm>
        <a:off x="4857544" y="658474"/>
        <a:ext cx="1389483" cy="433808"/>
      </dsp:txXfrm>
    </dsp:sp>
  </dsp:spTree>
</dsp:drawing>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Relationships xmlns="http://schemas.openxmlformats.org/package/2006/relationships"><Relationship Id="rId8" Type="http://schemas.openxmlformats.org/officeDocument/2006/relationships/webSettings" Target="webSettings.xml"/><Relationship Id="rId7" Type="http://schemas.openxmlformats.org/officeDocument/2006/relationships/settings" Target="settings.xml"/><Relationship Id="rId6" Type="http://schemas.openxmlformats.org/officeDocument/2006/relationships/styles" Target="styles.xml"/><Relationship Id="rId9"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D3A1B"/>
    <w:rsid w:val="000E37EC"/>
    <w:rsid w:val="00137129"/>
    <w:rsid w:val="00152B56"/>
    <w:rsid w:val="00172FBC"/>
    <w:rsid w:val="001C6FCD"/>
    <w:rsid w:val="001D2DC8"/>
    <w:rsid w:val="001D303D"/>
    <w:rsid w:val="00215F1C"/>
    <w:rsid w:val="00231625"/>
    <w:rsid w:val="00247786"/>
    <w:rsid w:val="002574D6"/>
    <w:rsid w:val="002733C7"/>
    <w:rsid w:val="002F5CC7"/>
    <w:rsid w:val="00311761"/>
    <w:rsid w:val="003C4154"/>
    <w:rsid w:val="003E4905"/>
    <w:rsid w:val="00407588"/>
    <w:rsid w:val="004315EF"/>
    <w:rsid w:val="00476DC2"/>
    <w:rsid w:val="004F790F"/>
    <w:rsid w:val="00506A34"/>
    <w:rsid w:val="00534BF5"/>
    <w:rsid w:val="00562BA2"/>
    <w:rsid w:val="00565A59"/>
    <w:rsid w:val="005B0133"/>
    <w:rsid w:val="005B1A25"/>
    <w:rsid w:val="00623C32"/>
    <w:rsid w:val="00712480"/>
    <w:rsid w:val="00765B38"/>
    <w:rsid w:val="007A7FD5"/>
    <w:rsid w:val="00807EB7"/>
    <w:rsid w:val="00890805"/>
    <w:rsid w:val="008C5F31"/>
    <w:rsid w:val="00922946"/>
    <w:rsid w:val="0093456B"/>
    <w:rsid w:val="00940385"/>
    <w:rsid w:val="009414AF"/>
    <w:rsid w:val="00954DD3"/>
    <w:rsid w:val="00960326"/>
    <w:rsid w:val="009764C1"/>
    <w:rsid w:val="00977D12"/>
    <w:rsid w:val="00AA0EA0"/>
    <w:rsid w:val="00AD00E9"/>
    <w:rsid w:val="00AD2CEA"/>
    <w:rsid w:val="00AD5EF5"/>
    <w:rsid w:val="00AE477F"/>
    <w:rsid w:val="00BC34F1"/>
    <w:rsid w:val="00BC7D89"/>
    <w:rsid w:val="00BF6B61"/>
    <w:rsid w:val="00C101D8"/>
    <w:rsid w:val="00C66348"/>
    <w:rsid w:val="00C71148"/>
    <w:rsid w:val="00C733BF"/>
    <w:rsid w:val="00CB7E58"/>
    <w:rsid w:val="00CD4C01"/>
    <w:rsid w:val="00CF3BD5"/>
    <w:rsid w:val="00D64163"/>
    <w:rsid w:val="00D7239B"/>
    <w:rsid w:val="00D94F62"/>
    <w:rsid w:val="00DB1926"/>
    <w:rsid w:val="00DB2AC9"/>
    <w:rsid w:val="00DD6CFC"/>
    <w:rsid w:val="00DF30D7"/>
    <w:rsid w:val="00E11630"/>
    <w:rsid w:val="00E36DB7"/>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 w:type="paragraph" w:customStyle="1" w:styleId="EBB83E8CD00D4AF2B3B2DCEB60918AB5">
    <w:name w:val="EBB83E8CD00D4AF2B3B2DCEB60918AB5"/>
    <w:rsid w:val="00960326"/>
    <w:pPr>
      <w:spacing w:after="160" w:line="259" w:lineRule="auto"/>
    </w:pPr>
  </w:style>
  <w:style w:type="paragraph" w:customStyle="1" w:styleId="1097B55C9A6745EB9E9A0416904E9CD2">
    <w:name w:val="1097B55C9A6745EB9E9A0416904E9CD2"/>
    <w:rsid w:val="00960326"/>
    <w:pPr>
      <w:spacing w:after="160" w:line="259" w:lineRule="auto"/>
    </w:pPr>
  </w:style>
  <w:style w:type="paragraph" w:customStyle="1" w:styleId="AE4DD6C415ED485D8384FFD72E6868C3">
    <w:name w:val="AE4DD6C415ED485D8384FFD72E6868C3"/>
    <w:rsid w:val="00960326"/>
    <w:pPr>
      <w:spacing w:after="160" w:line="259" w:lineRule="auto"/>
    </w:pPr>
  </w:style>
  <w:style w:type="paragraph" w:customStyle="1" w:styleId="AFFB5330C09B47C9B083024E25764DC0">
    <w:name w:val="AFFB5330C09B47C9B083024E25764DC0"/>
    <w:rsid w:val="00960326"/>
    <w:pPr>
      <w:spacing w:after="160" w:line="259" w:lineRule="auto"/>
    </w:pPr>
  </w:style>
  <w:style w:type="paragraph" w:customStyle="1" w:styleId="4D35A65861F046CA9D01A4C053FF4ACB">
    <w:name w:val="4D35A65861F046CA9D01A4C053FF4ACB"/>
    <w:pPr>
      <w:spacing w:after="160" w:line="259" w:lineRule="auto"/>
    </w:pPr>
    <w:rPr>
      <w:lang w:val="en-US" w:eastAsia="ja-JP"/>
    </w:rPr>
  </w:style>
  <w:style w:type="paragraph" w:customStyle="1" w:styleId="07819E166E7742CBAD4ED8BFBAFCCD09">
    <w:name w:val="07819E166E7742CBAD4ED8BFBAFCCD09"/>
    <w:rsid w:val="00231625"/>
    <w:pPr>
      <w:spacing w:after="160" w:line="259" w:lineRule="auto"/>
    </w:pPr>
  </w:style>
  <w:style w:type="paragraph" w:customStyle="1" w:styleId="2B8EDDA061064EA6A6D2BE2C8BC5D087">
    <w:name w:val="2B8EDDA061064EA6A6D2BE2C8BC5D087"/>
    <w:rsid w:val="00623C32"/>
    <w:pPr>
      <w:spacing w:after="160" w:line="259" w:lineRule="auto"/>
    </w:pPr>
  </w:style>
  <w:style w:type="paragraph" w:customStyle="1" w:styleId="931274D7FCAC4E9DA259EDD2421779CA">
    <w:name w:val="931274D7FCAC4E9DA259EDD2421779CA"/>
    <w:rsid w:val="00623C3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9e618372-9e65-414f-9ab5-9ab4f3cbbc2f">
      <UserInfo>
        <DisplayName>Jarvis Dave</DisplayName>
        <AccountId>338</AccountId>
        <AccountType/>
      </UserInfo>
    </SharedWithUsers>
    <Notes xmlns="f5f1dae1-37f0-4882-8da6-51b6c0008a06" xsi:nil="true"/>
  </documentManagement>
</p:properties>
</file>

<file path=customXml/item3.xml><?xml version="1.0" encoding="utf-8"?>
<CoverPageProperties xmlns="http://schemas.microsoft.com/office/2006/coverPageProps">
  <PublishDate>2020-05-05T00:00:00</PublishDate>
  <Abstract/>
  <CompanyAddress/>
  <CompanyPhone/>
  <CompanyFax/>
  <CompanyEmail/>
</CoverPage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1AC2B1D410AC94EB255231E8D0D12E9" ma:contentTypeVersion="11" ma:contentTypeDescription="Create a new document." ma:contentTypeScope="" ma:versionID="2403fb29f90eec9d203932a399e8976c">
  <xsd:schema xmlns:xsd="http://www.w3.org/2001/XMLSchema" xmlns:xs="http://www.w3.org/2001/XMLSchema" xmlns:p="http://schemas.microsoft.com/office/2006/metadata/properties" xmlns:ns2="f5f1dae1-37f0-4882-8da6-51b6c0008a06" xmlns:ns3="9e618372-9e65-414f-9ab5-9ab4f3cbbc2f" targetNamespace="http://schemas.microsoft.com/office/2006/metadata/properties" ma:root="true" ma:fieldsID="cde65d01c066148b715cc90a1b0ea7cc" ns2:_="" ns3:_="">
    <xsd:import namespace="f5f1dae1-37f0-4882-8da6-51b6c0008a06"/>
    <xsd:import namespace="9e618372-9e65-414f-9ab5-9ab4f3cbbc2f"/>
    <xsd:element name="properties">
      <xsd:complexType>
        <xsd:sequence>
          <xsd:element name="documentManagement">
            <xsd:complexType>
              <xsd:all>
                <xsd:element ref="ns2:MediaServiceMetadata" minOccurs="0"/>
                <xsd:element ref="ns2:MediaServiceFastMetadata" minOccurs="0"/>
                <xsd:element ref="ns2:Note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f1dae1-37f0-4882-8da6-51b6c0008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s" ma:index="10" nillable="true" ma:displayName="Notes" ma:format="Dropdown" ma:internalName="Notes">
      <xsd:simpleType>
        <xsd:restriction base="dms:Note">
          <xsd:maxLength value="255"/>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618372-9e65-414f-9ab5-9ab4f3cbbc2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2.xml><?xml version="1.0" encoding="utf-8"?>
<ds:datastoreItem xmlns:ds="http://schemas.openxmlformats.org/officeDocument/2006/customXml" ds:itemID="{5818218F-AB00-4272-A716-DA4688C85ECA}">
  <ds:schemaRefs>
    <ds:schemaRef ds:uri="http://purl.org/dc/elements/1.1/"/>
    <ds:schemaRef ds:uri="http://purl.org/dc/dcmitype/"/>
    <ds:schemaRef ds:uri="http://www.w3.org/XML/1998/namespace"/>
    <ds:schemaRef ds:uri="9e618372-9e65-414f-9ab5-9ab4f3cbbc2f"/>
    <ds:schemaRef ds:uri="http://schemas.microsoft.com/office/2006/documentManagement/types"/>
    <ds:schemaRef ds:uri="http://schemas.microsoft.com/office/infopath/2007/PartnerControls"/>
    <ds:schemaRef ds:uri="http://schemas.microsoft.com/office/2006/metadata/properties"/>
    <ds:schemaRef ds:uri="http://purl.org/dc/terms/"/>
    <ds:schemaRef ds:uri="http://schemas.openxmlformats.org/package/2006/metadata/core-properties"/>
    <ds:schemaRef ds:uri="f5f1dae1-37f0-4882-8da6-51b6c0008a06"/>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F42EAEA7-DEC7-4BF3-B0FA-BD707C987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f1dae1-37f0-4882-8da6-51b6c0008a06"/>
    <ds:schemaRef ds:uri="9e618372-9e65-414f-9ab5-9ab4f3cbb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Application>LibreOffice/6.4.0.3$Windows_X86_64 LibreOffice_project/b0a288ab3d2d4774cb44b62f04d5d28733ac6df8</Application>
  <Pages>39</Pages>
  <Words>5736</Words>
  <Characters>32298</Characters>
  <CharactersWithSpaces>37256</CharactersWithSpaces>
  <Paragraphs>691</Paragraphs>
  <Company>Health &amp; Social Care Information Centre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2020-08-13T13:32:00Z</dcterms:created>
  <dc:creator>Jonathan Caplin</dc:creator>
  <dc:description/>
  <dc:language>en-GB</dc:language>
  <cp:lastModifiedBy/>
  <cp:lastPrinted>2019-04-08T22:11:00Z</cp:lastPrinted>
  <dcterms:modified xsi:type="dcterms:W3CDTF">2020-08-27T09:26:03Z</dcterms:modified>
  <cp:revision>46</cp:revision>
  <dc:subject/>
  <dc:title>National Event Management Service (NEMS) Onboarding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AuthorIds_UIVersion_1024">
    <vt:lpwstr>140</vt:lpwstr>
  </property>
  <property fmtid="{D5CDD505-2E9C-101B-9397-08002B2CF9AE}" pid="4" name="AuthorIds_UIVersion_2048">
    <vt:lpwstr>107</vt:lpwstr>
  </property>
  <property fmtid="{D5CDD505-2E9C-101B-9397-08002B2CF9AE}" pid="5" name="AuthorIds_UIVersion_3072">
    <vt:lpwstr>140</vt:lpwstr>
  </property>
  <property fmtid="{D5CDD505-2E9C-101B-9397-08002B2CF9AE}" pid="6" name="AuthorIds_UIVersion_3584">
    <vt:lpwstr>140</vt:lpwstr>
  </property>
  <property fmtid="{D5CDD505-2E9C-101B-9397-08002B2CF9AE}" pid="7" name="AuthorIds_UIVersion_512">
    <vt:lpwstr>300</vt:lpwstr>
  </property>
  <property fmtid="{D5CDD505-2E9C-101B-9397-08002B2CF9AE}" pid="8" name="Company">
    <vt:lpwstr>Health &amp; Social Care Information Centre</vt:lpwstr>
  </property>
  <property fmtid="{D5CDD505-2E9C-101B-9397-08002B2CF9AE}" pid="9" name="ContentTypeId">
    <vt:lpwstr>0x010100F1AC2B1D410AC94EB255231E8D0D12E9</vt:lpwstr>
  </property>
  <property fmtid="{D5CDD505-2E9C-101B-9397-08002B2CF9AE}" pid="10" name="DocSecurity">
    <vt:i4>0</vt:i4>
  </property>
  <property fmtid="{D5CDD505-2E9C-101B-9397-08002B2CF9AE}" pid="11" name="HyperlinksChanged">
    <vt:bool>0</vt:bool>
  </property>
  <property fmtid="{D5CDD505-2E9C-101B-9397-08002B2CF9AE}" pid="12" name="InformationType">
    <vt:lpwstr>10;#Report|86ff5d87-bdb6-4c85-b7b6-a06dc0e9f122</vt:lpwstr>
  </property>
  <property fmtid="{D5CDD505-2E9C-101B-9397-08002B2CF9AE}" pid="13"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14" name="LinksUpToDate">
    <vt:bool>0</vt:bool>
  </property>
  <property fmtid="{D5CDD505-2E9C-101B-9397-08002B2CF9AE}" pid="15" name="Manager">
    <vt:lpwstr>Jonathan Caplin</vt:lpwstr>
  </property>
  <property fmtid="{D5CDD505-2E9C-101B-9397-08002B2CF9AE}" pid="16" name="PortfolioCode">
    <vt:lpwstr>53;#P0404/00 - Communications [Corporate Function-Digital Transformation - Beverley Bryant]|4d1365a3-4553-4328-b183-fb2da2713d14</vt:lpwstr>
  </property>
  <property fmtid="{D5CDD505-2E9C-101B-9397-08002B2CF9AE}" pid="17" name="ScaleCrop">
    <vt:bool>0</vt:bool>
  </property>
  <property fmtid="{D5CDD505-2E9C-101B-9397-08002B2CF9AE}" pid="18" name="ShareDoc">
    <vt:bool>0</vt:bool>
  </property>
  <property fmtid="{D5CDD505-2E9C-101B-9397-08002B2CF9AE}" pid="19" name="SharedWithUsers">
    <vt:lpwstr>338;#Jarvis Dave</vt:lpwstr>
  </property>
  <property fmtid="{D5CDD505-2E9C-101B-9397-08002B2CF9AE}" pid="20" name="_dlc_DocIdItemGuid">
    <vt:lpwstr>ba779f0e-7aa1-4cb1-b579-93d7b0f3df85</vt:lpwstr>
  </property>
  <property fmtid="{D5CDD505-2E9C-101B-9397-08002B2CF9AE}" pid="21" name="_dlc_policyId">
    <vt:lpwstr>0x010100248FFECF8F0D554792D64B70CF7BF038|1875765322</vt:lpwstr>
  </property>
  <property fmtid="{D5CDD505-2E9C-101B-9397-08002B2CF9AE}" pid="22" name="contentStatus">
    <vt:lpwstr>Draft</vt:lpwstr>
  </property>
  <property fmtid="{D5CDD505-2E9C-101B-9397-08002B2CF9AE}" pid="23" name="i8502cb9d1b74c4f9e1ea45824336350">
    <vt:lpwstr>P0404/00 - Communications [Corporate Function-Digital Transformation - Beverley Bryant]|4d1365a3-4553-4328-b183-fb2da2713d14</vt:lpwstr>
  </property>
</Properties>
</file>