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851CCD" w14:textId="621E104C" w:rsidR="00F17802" w:rsidRDefault="00000000">
      <w:pPr>
        <w:pStyle w:val="Title"/>
        <w:spacing w:after="40"/>
        <w:jc w:val="center"/>
      </w:pPr>
      <w:r>
        <w:rPr>
          <w:b/>
          <w:color w:val="203E56"/>
          <w:sz w:val="48"/>
          <w:szCs w:val="44"/>
          <w:rFonts w:ascii="Calibri" w:hAnsi="Calibri"/>
        </w:rPr>
        <w:t>SABA A. FARAHANI</w:t>
      </w:r>
    </w:p>
    <w:p w14:paraId="57AEC847" w14:textId="4934EF51" w:rsidR="00F17802" w:rsidRDefault="00000000">
      <w:pPr>
        <w:spacing w:after="70"/>
        <w:jc w:val="center"/>
      </w:pPr>
      <w:r>
        <w:rPr>
          <w:b/>
          <w:bCs/>
          <w:color w:val="233F57"/>
          <w:rFonts w:ascii="Calibri" w:hAnsi="Calibri"/>
          <w:sz w:val="19"/>
        </w:rPr>
        <w:t>AI Researcher | LLM Agents · Knowledge Graphs · Multimodal Learning · Causal AI</w:t>
      </w:r>
    </w:p>
    <w:p w14:paraId="67462388" w14:textId="77777777" w:rsidR="00F17802" w:rsidRDefault="00F17802">
      <w:pPr>
        <w:pBdr>
          <w:bottom w:val="single" w:sz="4" w:space="8" w:color="D9DDE2"/>
        </w:pBdr>
        <w:spacing w:after="40"/>
        <w:jc w:val="center"/>
      </w:pPr>
      <w:hyperlink r:id="rId5" w:history="1">
        <w:r>
          <w:rPr>
            <w:color w:val="1F3A5F"/>
            <w:sz w:val="18"/>
            <w:szCs w:val="18"/>
            <w:rFonts w:ascii="Calibri" w:hAnsi="Calibri"/>
          </w:rPr>
          <w:t>fazizaba@uci.edu</w:t>
        </w:r>
      </w:hyperlink>
      <w:r w:rsidR="00000000">
        <w:rPr>
          <w:color w:val="B8925A"/>
          <w:sz w:val="18"/>
          <w:szCs w:val="16"/>
          <w:rFonts w:ascii="Calibri" w:hAnsi="Calibri"/>
        </w:rPr>
        <w:t xml:space="preserve">   •   </w:t>
      </w:r>
      <w:hyperlink r:id="rId6" w:history="1">
        <w:r>
          <w:rPr>
            <w:color w:val="1F3A5F"/>
            <w:sz w:val="18"/>
            <w:szCs w:val="18"/>
            <w:rFonts w:ascii="Calibri" w:hAnsi="Calibri"/>
          </w:rPr>
          <w:t>LinkedIn</w:t>
        </w:r>
      </w:hyperlink>
      <w:r w:rsidR="00000000">
        <w:rPr>
          <w:color w:val="B8925A"/>
          <w:sz w:val="18"/>
          <w:szCs w:val="16"/>
          <w:rFonts w:ascii="Calibri" w:hAnsi="Calibri"/>
        </w:rPr>
        <w:t xml:space="preserve">   •   </w:t>
      </w:r>
      <w:hyperlink r:id="rId7" w:history="1">
        <w:r>
          <w:rPr>
            <w:color w:val="1F3A5F"/>
            <w:sz w:val="18"/>
            <w:szCs w:val="18"/>
            <w:rFonts w:ascii="Calibri" w:hAnsi="Calibri"/>
          </w:rPr>
          <w:t>GitHub</w:t>
        </w:r>
      </w:hyperlink>
      <w:r w:rsidR="00000000">
        <w:rPr>
          <w:color w:val="B8925A"/>
          <w:sz w:val="18"/>
          <w:szCs w:val="16"/>
          <w:rFonts w:ascii="Calibri" w:hAnsi="Calibri"/>
        </w:rPr>
        <w:t xml:space="preserve">   •   </w:t>
      </w:r>
      <w:hyperlink r:id="rId8" w:history="1">
        <w:r>
          <w:rPr>
            <w:color w:val="1F3A5F"/>
            <w:sz w:val="18"/>
            <w:szCs w:val="18"/>
            <w:rFonts w:ascii="Calibri" w:hAnsi="Calibri"/>
          </w:rPr>
          <w:t>Google Scholar</w:t>
        </w:r>
      </w:hyperlink>
      <w:r w:rsidR="00000000">
        <w:rPr>
          <w:color w:val="B8925A"/>
          <w:sz w:val="18"/>
          <w:szCs w:val="16"/>
          <w:rFonts w:ascii="Calibri" w:hAnsi="Calibri"/>
        </w:rPr>
        <w:t xml:space="preserve">   •   </w:t>
      </w:r>
      <w:hyperlink r:id="rId9" w:history="1">
        <w:r>
          <w:rPr>
            <w:color w:val="1F3A5F"/>
            <w:sz w:val="18"/>
            <w:szCs w:val="18"/>
            <w:rFonts w:ascii="Calibri" w:hAnsi="Calibri"/>
          </w:rPr>
          <w:t>sabafarahani.com</w:t>
        </w:r>
      </w:hyperlink>
    </w:p>
    <w:p w14:paraId="08CE0D26" w14:textId="77777777" w:rsidR="00F17802" w:rsidRDefault="00000000">
      <w:pPr>
        <w:pBdr>
          <w:bottom w:val="single" w:sz="4" w:space="3" w:color="B8925A"/>
        </w:pBdr>
        <w:spacing w:before="220" w:after="100"/>
      </w:pPr>
      <w:r>
        <w:rPr>
          <w:b/>
          <w:color w:val="203E56"/>
          <w:sz w:val="21"/>
          <w:szCs w:val="20"/>
          <w:rFonts w:ascii="Calibri" w:hAnsi="Calibri"/>
        </w:rPr>
        <w:t>EDUCATION</w:t>
      </w:r>
    </w:p>
    <w:p w14:paraId="63DB1E21" w14:textId="3055BDDA" w:rsidR="00F17802" w:rsidRDefault="00000000">
      <w:pPr>
        <w:tabs>
          <w:tab w:val="right" w:pos="10440"/>
        </w:tabs>
        <w:spacing w:before="40"/>
      </w:pPr>
      <w:r>
        <w:rPr>
          <w:b/>
          <w:bCs/>
          <w:color w:val="1B2A3A"/>
          <w:sz w:val="20"/>
          <w:szCs w:val="20"/>
          <w:rFonts w:ascii="Calibri" w:hAnsi="Calibri"/>
        </w:rPr>
        <w:t>PhD, Electrical Engineering and Computer Science</w:t>
      </w:r>
      <w:r>
        <w:rPr>
          <w:color w:val="6B7480"/>
          <w:rFonts w:ascii="Calibri" w:hAnsi="Calibri"/>
          <w:sz w:val="20"/>
        </w:rPr>
        <w:t xml:space="preserve"> · University of California, Irvine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2023–Present</w:t>
      </w:r>
    </w:p>
    <w:p w14:paraId="681FC216" w14:textId="77777777" w:rsidR="00F17802" w:rsidRDefault="00000000">
      <w:pPr>
        <w:spacing w:before="10"/>
      </w:pPr>
      <w:r>
        <w:rPr>
          <w:i/>
          <w:iCs/>
          <w:color w:val="6B7480"/>
          <w:rFonts w:ascii="Calibri" w:hAnsi="Calibri"/>
          <w:sz w:val="20"/>
        </w:rPr>
        <w:t xml:space="preserve">Research: </w:t>
      </w:r>
      <w:r>
        <w:rPr>
          <w:i/>
          <w:iCs/>
          <w:color w:val="1F3A5F"/>
          <w:rFonts w:ascii="Calibri" w:hAnsi="Calibri"/>
          <w:sz w:val="20"/>
        </w:rPr>
        <w:t>Trustworthy Personalized Agents: From Multimodal Data to Verified Action</w:t>
      </w:r>
    </w:p>
    <w:p w14:paraId="2565A7A0" w14:textId="5960D391" w:rsidR="00F17802" w:rsidRDefault="00000000">
      <w:pPr>
        <w:tabs>
          <w:tab w:val="right" w:pos="10440"/>
        </w:tabs>
        <w:spacing w:before="80"/>
      </w:pPr>
      <w:r>
        <w:rPr>
          <w:b/>
          <w:bCs/>
          <w:color w:val="1B2A3A"/>
          <w:sz w:val="20"/>
          <w:szCs w:val="20"/>
          <w:rFonts w:ascii="Calibri" w:hAnsi="Calibri"/>
        </w:rPr>
        <w:t>MS, Electrical Engineering and Computer Science</w:t>
      </w:r>
      <w:r>
        <w:rPr>
          <w:color w:val="6B7480"/>
          <w:rFonts w:ascii="Calibri" w:hAnsi="Calibri"/>
          <w:sz w:val="20"/>
        </w:rPr>
        <w:t xml:space="preserve"> · Sharif University of Technology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2020–2022</w:t>
      </w:r>
    </w:p>
    <w:p w14:paraId="47DC729A" w14:textId="31F8C026" w:rsidR="00F17802" w:rsidRDefault="00000000">
      <w:pPr>
        <w:tabs>
          <w:tab w:val="right" w:pos="10440"/>
        </w:tabs>
        <w:spacing w:before="80"/>
      </w:pPr>
      <w:r>
        <w:rPr>
          <w:b/>
          <w:bCs/>
          <w:color w:val="1B2A3A"/>
          <w:sz w:val="20"/>
          <w:szCs w:val="20"/>
          <w:rFonts w:ascii="Calibri" w:hAnsi="Calibri"/>
        </w:rPr>
        <w:t>BS, Electrical Engineering</w:t>
      </w:r>
      <w:r>
        <w:rPr>
          <w:color w:val="6B7480"/>
          <w:rFonts w:ascii="Calibri" w:hAnsi="Calibri"/>
          <w:sz w:val="20"/>
        </w:rPr>
        <w:t xml:space="preserve"> · University of Tehran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2015–2019</w:t>
      </w:r>
    </w:p>
    <w:p w14:paraId="6F2550BD" w14:textId="77777777" w:rsidR="00F17802" w:rsidRDefault="00000000">
      <w:pPr>
        <w:pBdr>
          <w:bottom w:val="single" w:sz="4" w:space="3" w:color="B8925A"/>
        </w:pBdr>
        <w:spacing w:before="220" w:after="100"/>
      </w:pPr>
      <w:r>
        <w:rPr>
          <w:b/>
          <w:color w:val="203E56"/>
          <w:sz w:val="21"/>
          <w:szCs w:val="20"/>
          <w:rFonts w:ascii="Calibri" w:hAnsi="Calibri"/>
        </w:rPr>
        <w:t>RESEARCH AND INDUSTRY EXPERIENCE</w:t>
      </w:r>
    </w:p>
    <w:p w14:paraId="059757DA" w14:textId="77777777" w:rsidR="00F17802" w:rsidRDefault="00000000">
      <w:pPr>
        <w:tabs>
          <w:tab w:val="right" w:pos="10440"/>
        </w:tabs>
        <w:spacing w:before="170"/>
      </w:pPr>
      <w:r>
        <w:rPr>
          <w:b/>
          <w:bCs/>
          <w:color w:val="1B2A3A"/>
          <w:sz w:val="20"/>
          <w:szCs w:val="20"/>
          <w:rFonts w:ascii="Calibri" w:hAnsi="Calibri"/>
        </w:rPr>
        <w:t>UC Irvine Institute for Future Health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2025–Present</w:t>
      </w:r>
    </w:p>
    <w:p w14:paraId="1A11FCF8" w14:textId="77777777" w:rsidR="00F17802" w:rsidRDefault="00000000">
      <w:pPr>
        <w:spacing w:after="30"/>
      </w:pPr>
      <w:r>
        <w:rPr>
          <w:b w:val="0"/>
          <w:i/>
          <w:color w:val="525F6B"/>
          <w:rFonts w:ascii="Calibri" w:hAnsi="Calibri"/>
          <w:sz w:val="20"/>
        </w:rPr>
        <w:t>Graduate Researcher | Research Intern, Summer 2026</w:t>
      </w:r>
    </w:p>
    <w:p w14:paraId="3F228777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Designed and implemented a </w:t>
      </w:r>
      <w:r>
        <w:rPr>
          <w:b/>
          <w:rFonts w:ascii="Calibri" w:hAnsi="Calibri"/>
          <w:sz w:val="20"/>
        </w:rPr>
        <w:t>knowledge-guided LLM agent</w:t>
      </w:r>
      <w:r>
        <w:rPr>
          <w:b w:val="0"/>
          <w:rFonts w:ascii="Calibri" w:hAnsi="Calibri"/>
          <w:sz w:val="20"/>
        </w:rPr>
        <w:t xml:space="preserve"> that identifies missing patient context and generates targeted follow-up questions before downstream response generation.</w:t>
      </w:r>
    </w:p>
    <w:p w14:paraId="3F228777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rFonts w:ascii="Calibri" w:hAnsi="Calibri"/>
          <w:sz w:val="20"/>
        </w:rPr>
        <w:t xml:space="preserve">Designed and implemented </w:t>
      </w:r>
      <w:r>
        <w:rPr>
          <w:b/>
          <w:rFonts w:ascii="Calibri" w:hAnsi="Calibri"/>
          <w:sz w:val="20"/>
        </w:rPr>
        <w:t>T2D-Bench</w:t>
      </w:r>
      <w:r>
        <w:rPr>
          <w:rFonts w:ascii="Calibri" w:hAnsi="Calibri"/>
          <w:sz w:val="20"/>
        </w:rPr>
        <w:t xml:space="preserve">, using a clinical–lifestyle knowledge graph and deterministic evidence checks to verify and revise LLM responses against explicit clinical evidence requirements; evaluated on </w:t>
      </w:r>
      <w:r>
        <w:rPr>
          <w:b/>
          <w:rFonts w:ascii="Calibri" w:hAnsi="Calibri"/>
          <w:sz w:val="20"/>
        </w:rPr>
        <w:t>100 structured cases</w:t>
      </w:r>
      <w:r>
        <w:rPr>
          <w:rFonts w:ascii="Calibri" w:hAnsi="Calibri"/>
          <w:sz w:val="20"/>
        </w:rPr>
        <w:t>.</w:t>
      </w:r>
    </w:p>
    <w:p w14:paraId="2AB3C41D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Developing </w:t>
      </w:r>
      <w:r>
        <w:rPr>
          <w:b/>
          <w:rFonts w:ascii="Calibri" w:hAnsi="Calibri"/>
          <w:sz w:val="20"/>
        </w:rPr>
        <w:t>Personal Care Utility (PCU)</w:t>
      </w:r>
      <w:r>
        <w:rPr>
          <w:b w:val="0"/>
          <w:rFonts w:ascii="Calibri" w:hAnsi="Calibri"/>
          <w:sz w:val="20"/>
        </w:rPr>
        <w:t>, a multi-agent system combining wearable signals, clinical context, and event graphs for personalized type 2 diabetes care.</w:t>
      </w:r>
    </w:p>
    <w:p w14:paraId="4D7744E1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Designed and implemented an </w:t>
      </w:r>
      <w:r>
        <w:rPr>
          <w:b/>
          <w:rFonts w:ascii="Calibri" w:hAnsi="Calibri"/>
          <w:sz w:val="20"/>
        </w:rPr>
        <w:t>event-graph mining agent</w:t>
      </w:r>
      <w:r>
        <w:rPr>
          <w:b w:val="0"/>
          <w:rFonts w:ascii="Calibri" w:hAnsi="Calibri"/>
          <w:sz w:val="20"/>
        </w:rPr>
        <w:t xml:space="preserve"> integrating wearable and physiological signals with clinical reports to detect health events, identify event relationships, estimate next-event probabilities, and interpret clinical significance.</w:t>
      </w:r>
    </w:p>
    <w:p w14:paraId="739A5C5A" w14:textId="3E407A98" w:rsidR="00F17802" w:rsidRDefault="00000000">
      <w:pPr>
        <w:tabs>
          <w:tab w:val="right" w:pos="10440"/>
        </w:tabs>
        <w:spacing w:before="170"/>
      </w:pPr>
      <w:r>
        <w:rPr>
          <w:b/>
          <w:bCs/>
          <w:color w:val="1B2A3A"/>
          <w:sz w:val="20"/>
          <w:szCs w:val="20"/>
          <w:rFonts w:ascii="Calibri" w:hAnsi="Calibri"/>
        </w:rPr>
        <w:t>UC Irvine Sue &amp; Bill Gross School of Nursing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2025</w:t>
      </w:r>
    </w:p>
    <w:p w14:paraId="03D5E920" w14:textId="77777777" w:rsidR="00F17802" w:rsidRDefault="00000000">
      <w:pPr>
        <w:spacing w:after="30"/>
      </w:pPr>
      <w:r>
        <w:rPr>
          <w:i/>
          <w:iCs/>
          <w:color w:val="525F6B"/>
          <w:sz w:val="20"/>
          <w:szCs w:val="18"/>
          <w:rFonts w:ascii="Calibri" w:hAnsi="Calibri"/>
        </w:rPr>
        <w:t>Graduate Researcher · Clinical Trial Matching</w:t>
      </w:r>
    </w:p>
    <w:p w14:paraId="405D30D7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Designed and implemented a </w:t>
      </w:r>
      <w:r>
        <w:rPr>
          <w:b/>
          <w:rFonts w:ascii="Calibri" w:hAnsi="Calibri"/>
          <w:sz w:val="20"/>
        </w:rPr>
        <w:t>multi-LLM pipeline</w:t>
      </w:r>
      <w:r>
        <w:rPr>
          <w:b w:val="0"/>
          <w:rFonts w:ascii="Calibri" w:hAnsi="Calibri"/>
          <w:sz w:val="20"/>
        </w:rPr>
        <w:t xml:space="preserve"> combining retrieval-augmented reasoning and conversational AI to match patient profiles against clinical-trial eligibility criteria.</w:t>
      </w:r>
    </w:p>
    <w:p w14:paraId="52277522" w14:textId="657C30CC" w:rsidR="00F17802" w:rsidRDefault="00000000">
      <w:pPr>
        <w:tabs>
          <w:tab w:val="right" w:pos="10440"/>
        </w:tabs>
        <w:spacing w:before="170"/>
      </w:pPr>
      <w:r>
        <w:rPr>
          <w:b/>
          <w:bCs/>
          <w:color w:val="1B2A3A"/>
          <w:sz w:val="20"/>
          <w:szCs w:val="20"/>
          <w:rFonts w:ascii="Calibri" w:hAnsi="Calibri"/>
        </w:rPr>
        <w:t>NaviGait</w:t>
      </w:r>
      <w:r w:rsidR="00F46932">
        <w:rPr>
          <w:b/>
          <w:bCs/>
          <w:color w:val="1B2A3A"/>
          <w:sz w:val="20"/>
          <w:szCs w:val="20"/>
          <w:rFonts w:ascii="Calibri" w:hAnsi="Calibri"/>
        </w:rPr>
        <w:t xml:space="preserve"> Company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2025</w:t>
      </w:r>
    </w:p>
    <w:p w14:paraId="4EC568B3" w14:textId="77777777" w:rsidR="00F17802" w:rsidRDefault="00000000">
      <w:pPr>
        <w:spacing w:after="30"/>
      </w:pPr>
      <w:r>
        <w:rPr>
          <w:i/>
          <w:iCs/>
          <w:color w:val="525F6B"/>
          <w:sz w:val="20"/>
          <w:szCs w:val="18"/>
          <w:rFonts w:ascii="Calibri" w:hAnsi="Calibri"/>
        </w:rPr>
        <w:t>AI and Robotics Research Intern</w:t>
      </w:r>
    </w:p>
    <w:p w14:paraId="064E8295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Built </w:t>
      </w:r>
      <w:r>
        <w:rPr>
          <w:b/>
          <w:rFonts w:ascii="Calibri" w:hAnsi="Calibri"/>
          <w:sz w:val="20"/>
        </w:rPr>
        <w:t>data-collection and validation pipelines</w:t>
      </w:r>
      <w:r>
        <w:rPr>
          <w:b w:val="0"/>
          <w:rFonts w:ascii="Calibri" w:hAnsi="Calibri"/>
          <w:sz w:val="20"/>
        </w:rPr>
        <w:t xml:space="preserve"> for care-companion robotics; deployed camera and health sensors for dementia monitoring with UCI Nursing collaborators.</w:t>
      </w:r>
    </w:p>
    <w:p w14:paraId="0CF442A8" w14:textId="77777777" w:rsidR="00F17802" w:rsidRDefault="00000000">
      <w:pPr>
        <w:tabs>
          <w:tab w:val="right" w:pos="10440"/>
        </w:tabs>
        <w:spacing w:before="170"/>
      </w:pPr>
      <w:r>
        <w:rPr>
          <w:b/>
          <w:bCs/>
          <w:color w:val="1B2A3A"/>
          <w:sz w:val="20"/>
          <w:szCs w:val="20"/>
          <w:rFonts w:ascii="Calibri" w:hAnsi="Calibri"/>
        </w:rPr>
        <w:t>Hyundai Motor Company</w:t>
      </w:r>
      <w:r>
        <w:rPr>
          <w:b/>
          <w:bCs/>
          <w:color w:val="525F6B"/>
          <w:sz w:val="19"/>
          <w:szCs w:val="18"/>
          <w:rFonts w:ascii="Calibri" w:hAnsi="Calibri"/>
        </w:rPr>
        <w:tab/>
        <w:t>2023–2024</w:t>
      </w:r>
    </w:p>
    <w:p w14:paraId="11ADE72C" w14:textId="77777777" w:rsidR="00F17802" w:rsidRDefault="00000000">
      <w:pPr>
        <w:spacing w:after="30"/>
      </w:pPr>
      <w:r>
        <w:rPr>
          <w:i/>
          <w:iCs/>
          <w:color w:val="525F6B"/>
          <w:sz w:val="20"/>
          <w:szCs w:val="18"/>
          <w:rFonts w:ascii="Calibri" w:hAnsi="Calibri"/>
        </w:rPr>
        <w:t>Research Collaboration and Internship · Autonomous Systems</w:t>
      </w:r>
    </w:p>
    <w:p w14:paraId="578A490B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Collected and processed sensor data; designed and implemented </w:t>
      </w:r>
      <w:r>
        <w:rPr>
          <w:b/>
          <w:rFonts w:ascii="Calibri" w:hAnsi="Calibri"/>
          <w:sz w:val="20"/>
        </w:rPr>
        <w:t>predictive models for LiDAR contamination</w:t>
      </w:r>
      <w:r>
        <w:rPr>
          <w:b w:val="0"/>
          <w:rFonts w:ascii="Calibri" w:hAnsi="Calibri"/>
          <w:sz w:val="20"/>
        </w:rPr>
        <w:t xml:space="preserve"> and investigated sensor-cleaning systems. Evaluated the models with the Hyundai team.</w:t>
      </w:r>
    </w:p>
    <w:p w14:paraId="6F20FE77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 w:val="0"/>
          <w:rFonts w:ascii="Calibri" w:hAnsi="Calibri"/>
          <w:sz w:val="20"/>
        </w:rPr>
        <w:t xml:space="preserve">Analyzed LiDAR, camera, GPS, and weather data; implemented </w:t>
      </w:r>
      <w:r>
        <w:rPr>
          <w:b/>
          <w:rFonts w:ascii="Calibri" w:hAnsi="Calibri"/>
          <w:sz w:val="20"/>
        </w:rPr>
        <w:t>RGB–infrared image fusion</w:t>
      </w:r>
      <w:r>
        <w:rPr>
          <w:b w:val="0"/>
          <w:rFonts w:ascii="Calibri" w:hAnsi="Calibri"/>
          <w:sz w:val="20"/>
        </w:rPr>
        <w:t xml:space="preserve"> to investigate object detection under low-visibility conditions.</w:t>
      </w:r>
    </w:p>
    <w:p w14:paraId="5FCF0268" w14:textId="77777777" w:rsidR="00F17802" w:rsidRDefault="00000000">
      <w:pPr>
        <w:pBdr>
          <w:bottom w:val="single" w:sz="4" w:space="3" w:color="B8925A"/>
        </w:pBdr>
        <w:spacing w:before="220" w:after="100"/>
      </w:pPr>
      <w:r>
        <w:rPr>
          <w:b/>
          <w:color w:val="203E56"/>
          <w:sz w:val="21"/>
          <w:szCs w:val="20"/>
          <w:rFonts w:ascii="Calibri" w:hAnsi="Calibri"/>
        </w:rPr>
        <w:t>INNOVATION AND AWARDS</w:t>
      </w:r>
    </w:p>
    <w:p w14:paraId="239C2E45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/>
          <w:bCs/>
          <w:color w:val="1B2A3A"/>
          <w:rFonts w:ascii="Calibri" w:hAnsi="Calibri"/>
          <w:sz w:val="20"/>
        </w:rPr>
        <w:t>Co-inventor, UCI invention disclosure (2026)</w:t>
      </w:r>
      <w:r>
        <w:rPr>
          <w:color w:val="2B2F33"/>
          <w:rFonts w:ascii="Calibri" w:hAnsi="Calibri"/>
          <w:sz w:val="20"/>
        </w:rPr>
        <w:t xml:space="preserve"> — </w:t>
      </w:r>
      <w:hyperlink r:id="rId10" w:history="1">
        <w:r w:rsidR="00F17802">
          <w:rPr>
            <w:color w:val="1F3A5F"/>
            <w:rFonts w:ascii="Calibri" w:hAnsi="Calibri"/>
          </w:rPr>
          <w:t>Causal AI for personalized health</w:t>
        </w:r>
      </w:hyperlink>
      <w:r>
        <w:rPr>
          <w:color w:val="2B2F33"/>
          <w:rFonts w:ascii="Calibri" w:hAnsi="Calibri"/>
          <w:sz w:val="20"/>
        </w:rPr>
        <w:t xml:space="preserve">. Developed an interpretable framework for multimodal health assessment, evaluated across two cohorts totaling </w:t>
      </w:r>
      <w:r>
        <w:rPr>
          <w:b/>
          <w:bCs/>
          <w:color w:val="1B2A3A"/>
          <w:rFonts w:ascii="Calibri" w:hAnsi="Calibri"/>
          <w:sz w:val="20"/>
        </w:rPr>
        <w:t>2,365 participants</w:t>
      </w:r>
      <w:r>
        <w:rPr>
          <w:color w:val="2B2F33"/>
          <w:rFonts w:ascii="Calibri" w:hAnsi="Calibri"/>
          <w:sz w:val="20"/>
        </w:rPr>
        <w:t>.</w:t>
      </w:r>
    </w:p>
    <w:p w14:paraId="73DA42EF" w14:textId="77777777" w:rsidR="00F17802" w:rsidRDefault="00000000">
      <w:pPr>
        <w:pStyle w:val="ListParagraph"/>
        <w:numPr>
          <w:ilvl w:val="0"/>
          <w:numId w:val="2"/>
        </w:numPr>
        <w:spacing w:before="30" w:line="280" w:lineRule="auto"/>
      </w:pPr>
      <w:r>
        <w:rPr>
          <w:b/>
          <w:bCs/>
          <w:color w:val="1B2A3A"/>
          <w:rFonts w:ascii="Calibri" w:hAnsi="Calibri"/>
          <w:sz w:val="20"/>
        </w:rPr>
        <w:t>Best Paper Award</w:t>
      </w:r>
      <w:r>
        <w:rPr>
          <w:color w:val="2B2F33"/>
          <w:rFonts w:ascii="Calibri" w:hAnsi="Calibri"/>
          <w:sz w:val="20"/>
        </w:rPr>
        <w:t>, ASME InterPACK 2024 — Predictive modeling for LiDAR sensor reliability.</w:t>
      </w:r>
    </w:p>
    <w:p w14:paraId="1746B048" w14:textId="77777777" w:rsidR="00F17802" w:rsidRDefault="00000000">
      <w:pPr>
        <w:pBdr>
          <w:bottom w:val="single" w:sz="4" w:space="3" w:color="B8925A"/>
        </w:pBdr>
        <w:spacing w:before="220" w:after="100"/>
      </w:pPr>
      <w:r>
        <w:rPr>
          <w:b/>
          <w:color w:val="203E56"/>
          <w:sz w:val="21"/>
          <w:szCs w:val="20"/>
          <w:rFonts w:ascii="Calibri" w:hAnsi="Calibri"/>
        </w:rPr>
        <w:t>TECHNICAL SKILLS</w:t>
      </w:r>
    </w:p>
    <w:p w14:paraId="0DE56B63" w14:textId="671E126B" w:rsidR="00F17802" w:rsidRDefault="00000000">
      <w:pPr>
        <w:spacing w:before="20" w:line="280" w:lineRule="auto"/>
      </w:pPr>
      <w:r>
        <w:rPr>
          <w:b/>
          <w:bCs/>
          <w:color w:val="1F3A5F"/>
          <w:rFonts w:ascii="Calibri" w:hAnsi="Calibri"/>
          <w:sz w:val="20"/>
        </w:rPr>
        <w:t xml:space="preserve">Programming and Tools   </w:t>
      </w:r>
      <w:r>
        <w:rPr>
          <w:color w:val="2B2F33"/>
          <w:rFonts w:ascii="Calibri" w:hAnsi="Calibri"/>
          <w:sz w:val="20"/>
        </w:rPr>
        <w:t>Python, C/C++, PyTorch, TensorFlow, OpenCV, Linux</w:t>
      </w:r>
    </w:p>
    <w:p w14:paraId="35557567" w14:textId="592070DF" w:rsidR="00F17802" w:rsidRDefault="00000000">
      <w:pPr>
        <w:spacing w:before="40" w:line="280" w:lineRule="auto"/>
      </w:pPr>
      <w:r>
        <w:rPr>
          <w:b/>
          <w:bCs/>
          <w:color w:val="1F3A5F"/>
          <w:rFonts w:ascii="Calibri" w:hAnsi="Calibri"/>
          <w:sz w:val="20"/>
        </w:rPr>
        <w:t xml:space="preserve">AI and machine learning   </w:t>
      </w:r>
      <w:r>
        <w:rPr>
          <w:color w:val="2B2F33"/>
          <w:rFonts w:ascii="Calibri" w:hAnsi="Calibri"/>
          <w:sz w:val="20"/>
        </w:rPr>
        <w:t>Large language models (LLMs), multi-agent systems, retrieval-augmented reasoning, knowledge graphs, causal discovery, multimodal learning, biomedical signal processing, time-series analysis</w:t>
      </w:r>
    </w:p>
    <w:sectPr w:rsidR="00F17802">
      <w:pgSz w:w="12240" w:h="15840"/>
      <w:pgMar w:top="9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FB21A2"/>
    <w:multiLevelType w:val="hybridMultilevel"/>
    <w:tmpl w:val="F8B852BC"/>
    <w:lvl w:ilvl="0" w:tplc="91D8818C">
      <w:start w:val="1"/>
      <w:numFmt w:val="bullet"/>
      <w:lvlText w:val="●"/>
      <w:lvlJc w:val="left"/>
      <w:pPr>
        <w:ind w:left="720" w:hanging="360"/>
      </w:pPr>
    </w:lvl>
    <w:lvl w:ilvl="1" w:tplc="510A86B4">
      <w:start w:val="1"/>
      <w:numFmt w:val="bullet"/>
      <w:lvlText w:val="○"/>
      <w:lvlJc w:val="left"/>
      <w:pPr>
        <w:ind w:left="1440" w:hanging="360"/>
      </w:pPr>
    </w:lvl>
    <w:lvl w:ilvl="2" w:tplc="4E2073F6">
      <w:start w:val="1"/>
      <w:numFmt w:val="bullet"/>
      <w:lvlText w:val="■"/>
      <w:lvlJc w:val="left"/>
      <w:pPr>
        <w:ind w:left="2160" w:hanging="360"/>
      </w:pPr>
    </w:lvl>
    <w:lvl w:ilvl="3" w:tplc="04E8AAAE">
      <w:start w:val="1"/>
      <w:numFmt w:val="bullet"/>
      <w:lvlText w:val="●"/>
      <w:lvlJc w:val="left"/>
      <w:pPr>
        <w:ind w:left="2880" w:hanging="360"/>
      </w:pPr>
    </w:lvl>
    <w:lvl w:ilvl="4" w:tplc="89E0E560">
      <w:start w:val="1"/>
      <w:numFmt w:val="bullet"/>
      <w:lvlText w:val="○"/>
      <w:lvlJc w:val="left"/>
      <w:pPr>
        <w:ind w:left="3600" w:hanging="360"/>
      </w:pPr>
    </w:lvl>
    <w:lvl w:ilvl="5" w:tplc="2FEA6AE8">
      <w:start w:val="1"/>
      <w:numFmt w:val="bullet"/>
      <w:lvlText w:val="■"/>
      <w:lvlJc w:val="left"/>
      <w:pPr>
        <w:ind w:left="4320" w:hanging="360"/>
      </w:pPr>
    </w:lvl>
    <w:lvl w:ilvl="6" w:tplc="CEB23522">
      <w:start w:val="1"/>
      <w:numFmt w:val="bullet"/>
      <w:lvlText w:val="●"/>
      <w:lvlJc w:val="left"/>
      <w:pPr>
        <w:ind w:left="5040" w:hanging="360"/>
      </w:pPr>
    </w:lvl>
    <w:lvl w:ilvl="7" w:tplc="E41A431A">
      <w:start w:val="1"/>
      <w:numFmt w:val="bullet"/>
      <w:lvlText w:val="●"/>
      <w:lvlJc w:val="left"/>
      <w:pPr>
        <w:ind w:left="5760" w:hanging="360"/>
      </w:pPr>
    </w:lvl>
    <w:lvl w:ilvl="8" w:tplc="A82AE0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F40796"/>
    <w:multiLevelType w:val="hybridMultilevel"/>
    <w:tmpl w:val="6D803DFE"/>
    <w:lvl w:ilvl="0" w:tplc="C622802C">
      <w:start w:val="1"/>
      <w:numFmt w:val="bullet"/>
      <w:lvlText w:val="–"/>
      <w:lvlJc w:val="left"/>
      <w:pPr>
        <w:ind w:left="240" w:hanging="200"/>
      </w:pPr>
      <w:rPr>
        <w:b/>
        <w:bCs/>
        <w:color w:val="B8925A"/>
      </w:rPr>
    </w:lvl>
    <w:lvl w:ilvl="1" w:tplc="94027F66">
      <w:numFmt w:val="decimal"/>
      <w:lvlText w:val=""/>
      <w:lvlJc w:val="left"/>
    </w:lvl>
    <w:lvl w:ilvl="2" w:tplc="1006191A">
      <w:numFmt w:val="decimal"/>
      <w:lvlText w:val=""/>
      <w:lvlJc w:val="left"/>
    </w:lvl>
    <w:lvl w:ilvl="3" w:tplc="51B87F52">
      <w:numFmt w:val="decimal"/>
      <w:lvlText w:val=""/>
      <w:lvlJc w:val="left"/>
    </w:lvl>
    <w:lvl w:ilvl="4" w:tplc="D3B07DA4">
      <w:numFmt w:val="decimal"/>
      <w:lvlText w:val=""/>
      <w:lvlJc w:val="left"/>
    </w:lvl>
    <w:lvl w:ilvl="5" w:tplc="60285E3E">
      <w:numFmt w:val="decimal"/>
      <w:lvlText w:val=""/>
      <w:lvlJc w:val="left"/>
    </w:lvl>
    <w:lvl w:ilvl="6" w:tplc="DB6A1890">
      <w:numFmt w:val="decimal"/>
      <w:lvlText w:val=""/>
      <w:lvlJc w:val="left"/>
    </w:lvl>
    <w:lvl w:ilvl="7" w:tplc="D0C6E7C4">
      <w:numFmt w:val="decimal"/>
      <w:lvlText w:val=""/>
      <w:lvlJc w:val="left"/>
    </w:lvl>
    <w:lvl w:ilvl="8" w:tplc="F1F014FA">
      <w:numFmt w:val="decimal"/>
      <w:lvlText w:val=""/>
      <w:lvlJc w:val="left"/>
    </w:lvl>
  </w:abstractNum>
  <w:num w:numId="1" w16cid:durableId="553272816">
    <w:abstractNumId w:val="0"/>
    <w:lvlOverride w:ilvl="0">
      <w:startOverride w:val="1"/>
    </w:lvlOverride>
  </w:num>
  <w:num w:numId="2" w16cid:durableId="19743598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802"/>
    <w:rsid w:val="000C286D"/>
    <w:rsid w:val="00182FC2"/>
    <w:rsid w:val="00333073"/>
    <w:rsid w:val="00650AAB"/>
    <w:rsid w:val="00D42C42"/>
    <w:rsid w:val="00F17802"/>
    <w:rsid w:val="00F4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74FE5"/>
  <w15:docId w15:val="{E9B5EDAD-8B5E-8245-9916-10AD9F62A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0"/>
    </w:rPr>
  </w:style>
  <w:style w:type="paragraph" w:styleId="Heading1">
    <w:name w:val="heading 1"/>
    <w:uiPriority w:val="9"/>
    <w:qFormat/>
    <w:pPr>
      <w:outlineLvl w:val="0"/>
    </w:pPr>
    <w:rPr>
      <w:rFonts w:ascii="Calibri" w:hAnsi="Calibri"/>
      <w:color w:val="2E74B5"/>
      <w:sz w:val="20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rFonts w:ascii="Calibri" w:hAnsi="Calibri"/>
      <w:color w:val="2E74B5"/>
      <w:sz w:val="20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Calibri" w:hAnsi="Calibri"/>
      <w:color w:val="1F4D78"/>
      <w:sz w:val="20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libri" w:hAnsi="Calibri"/>
      <w:i/>
      <w:iCs/>
      <w:color w:val="2E74B5"/>
      <w:sz w:val="2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Calibri" w:hAnsi="Calibri"/>
      <w:color w:val="2E74B5"/>
      <w:sz w:val="2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Calibri" w:hAnsi="Calibri"/>
      <w:color w:val="1F4D78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libri" w:hAnsi="Calibri"/>
      <w:sz w:val="20"/>
      <w:szCs w:val="56"/>
    </w:rPr>
  </w:style>
  <w:style w:type="paragraph" w:customStyle="1" w:styleId="Strong1">
    <w:name w:val="Strong1"/>
    <w:qFormat/>
    <w:rPr>
      <w:rFonts w:ascii="Calibri" w:hAnsi="Calibri"/>
      <w:b/>
      <w:bCs/>
      <w:sz w:val="20"/>
    </w:rPr>
  </w:style>
  <w:style w:type="paragraph" w:styleId="ListParagraph">
    <w:name w:val="List Paragraph"/>
    <w:qFormat/>
    <w:rPr>
      <w:rFonts w:ascii="Calibri" w:hAnsi="Calibri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rFonts w:ascii="Calibri" w:hAnsi="Calibri"/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rFonts w:ascii="Calibri" w:hAnsi="Calibri"/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scholar.google.com/citations?user=qHdF2UM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ba-Farahan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ba-a-farahani-0351741bb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fazizaba@uci.edu" TargetMode="External"/><Relationship Id="rId10" Type="http://schemas.openxmlformats.org/officeDocument/2006/relationships/hyperlink" Target="https://arxiv.org/abs/2606.185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bafarahan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Saba Azizabadi Farahani</cp:lastModifiedBy>
  <cp:revision>2</cp:revision>
  <dcterms:created xsi:type="dcterms:W3CDTF">2026-10-02T15:35:00Z</dcterms:created>
  <dcterms:modified xsi:type="dcterms:W3CDTF">2026-10-02T15:35:00Z</dcterms:modified>
</cp:coreProperties>
</file>