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9D6" w:rsidRPr="00C62349" w:rsidRDefault="009520AC" w:rsidP="00C62349">
      <w:pPr>
        <w:pStyle w:val="Heading1"/>
      </w:pPr>
      <w:r>
        <w:t xml:space="preserve">Phase 1 - </w:t>
      </w:r>
      <w:r w:rsidR="002F0747" w:rsidRPr="00C62349">
        <w:t xml:space="preserve">Cash Flow </w:t>
      </w:r>
      <w:r w:rsidR="00323B90" w:rsidRPr="00C62349">
        <w:t>Management</w:t>
      </w:r>
      <w:r w:rsidR="00DD1A88">
        <w:t xml:space="preserve"> &amp; Simulation</w:t>
      </w:r>
      <w:r w:rsidR="003E29D6" w:rsidRPr="00C62349">
        <w:t xml:space="preserve"> </w:t>
      </w:r>
      <w:r w:rsidR="00C62349">
        <w:t>Experience</w:t>
      </w:r>
      <w:r w:rsidR="00836F66">
        <w:t xml:space="preserve"> (April 2021)</w:t>
      </w:r>
    </w:p>
    <w:p w:rsidR="00C62349" w:rsidRDefault="00C62349"/>
    <w:p w:rsidR="00323B90" w:rsidRDefault="00323B90" w:rsidP="00C62349">
      <w:pPr>
        <w:pStyle w:val="Heading2"/>
      </w:pPr>
      <w:r>
        <w:t>Vision</w:t>
      </w:r>
    </w:p>
    <w:p w:rsidR="009520AC" w:rsidRDefault="00323B90">
      <w:r>
        <w:t xml:space="preserve">Our vision is to help our clients with their cash flow so they can run their business more efficiently and feel empowered to make decisions, have more time, and focus on the growth of their business. </w:t>
      </w:r>
      <w:r w:rsidR="00D61599">
        <w:t xml:space="preserve">We want to use data and XAI to drive smart insights and create an intuitive user experience for our clients. </w:t>
      </w:r>
    </w:p>
    <w:p w:rsidR="00323B90" w:rsidRDefault="004A057C" w:rsidP="00C62349">
      <w:pPr>
        <w:pStyle w:val="Heading2"/>
      </w:pPr>
      <w:r>
        <w:t>Goal</w:t>
      </w:r>
      <w:r w:rsidR="00C62349">
        <w:t>s</w:t>
      </w:r>
    </w:p>
    <w:p w:rsidR="00F45D87" w:rsidRDefault="00177295" w:rsidP="00C62349">
      <w:pPr>
        <w:pStyle w:val="ListParagraph"/>
        <w:numPr>
          <w:ilvl w:val="0"/>
          <w:numId w:val="3"/>
        </w:numPr>
      </w:pPr>
      <w:r>
        <w:t>Clients must be able to view this feature in both Digital Banking and SME platform</w:t>
      </w:r>
    </w:p>
    <w:p w:rsidR="00F45D87" w:rsidRDefault="00F45D87" w:rsidP="00F45D87">
      <w:pPr>
        <w:pStyle w:val="ListParagraph"/>
        <w:numPr>
          <w:ilvl w:val="1"/>
          <w:numId w:val="3"/>
        </w:numPr>
      </w:pPr>
      <w:r>
        <w:t>Digital Banking (DBX) out of the box</w:t>
      </w:r>
      <w:r w:rsidR="006D3595">
        <w:t xml:space="preserve"> XAI</w:t>
      </w:r>
      <w:r>
        <w:t xml:space="preserve"> functionality</w:t>
      </w:r>
    </w:p>
    <w:p w:rsidR="00177295" w:rsidRDefault="00F45D87" w:rsidP="00F45D87">
      <w:pPr>
        <w:pStyle w:val="ListParagraph"/>
        <w:numPr>
          <w:ilvl w:val="1"/>
          <w:numId w:val="3"/>
        </w:numPr>
      </w:pPr>
      <w:r>
        <w:t xml:space="preserve">IPOC (SME Platform): Out of the box </w:t>
      </w:r>
      <w:r w:rsidR="006D3595">
        <w:t xml:space="preserve">XAI functionality </w:t>
      </w:r>
      <w:r w:rsidR="00E416CD">
        <w:t>plus</w:t>
      </w:r>
      <w:r>
        <w:t xml:space="preserve"> simulation</w:t>
      </w:r>
    </w:p>
    <w:p w:rsidR="00177295" w:rsidRDefault="00177295" w:rsidP="00177295">
      <w:pPr>
        <w:pStyle w:val="ListParagraph"/>
        <w:numPr>
          <w:ilvl w:val="0"/>
          <w:numId w:val="3"/>
        </w:numPr>
      </w:pPr>
      <w:r>
        <w:t>XAI model must generate insights for our clients and predict their cash flow for 1, 3, 6 months (key differentiating factor)</w:t>
      </w:r>
      <w:r w:rsidR="00EA47F4">
        <w:t>.</w:t>
      </w:r>
    </w:p>
    <w:p w:rsidR="00177295" w:rsidRDefault="00177295" w:rsidP="00177295">
      <w:pPr>
        <w:pStyle w:val="ListParagraph"/>
        <w:numPr>
          <w:ilvl w:val="0"/>
          <w:numId w:val="3"/>
        </w:numPr>
      </w:pPr>
      <w:r>
        <w:t>Create an intuitive UI for clients (key differentiating factor).</w:t>
      </w:r>
    </w:p>
    <w:p w:rsidR="00177295" w:rsidRDefault="00177295" w:rsidP="00EA47F4">
      <w:pPr>
        <w:pStyle w:val="ListParagraph"/>
        <w:numPr>
          <w:ilvl w:val="0"/>
          <w:numId w:val="3"/>
        </w:numPr>
      </w:pPr>
      <w:r>
        <w:t xml:space="preserve">Use core CWB banking data, Moody’s and </w:t>
      </w:r>
      <w:r w:rsidR="00EA47F4">
        <w:t>client’s accounting data to generate a complete view of their cash flow (key differentiating factor)</w:t>
      </w:r>
    </w:p>
    <w:p w:rsidR="00E66062" w:rsidRDefault="00E66062" w:rsidP="00EA47F4">
      <w:pPr>
        <w:pStyle w:val="ListParagraph"/>
        <w:numPr>
          <w:ilvl w:val="0"/>
          <w:numId w:val="3"/>
        </w:numPr>
      </w:pPr>
      <w:r>
        <w:t>Simulation and modelling (IPOC</w:t>
      </w:r>
      <w:r w:rsidR="001B2460">
        <w:t xml:space="preserve"> – SME Platform</w:t>
      </w:r>
      <w:r>
        <w:t>)</w:t>
      </w:r>
    </w:p>
    <w:p w:rsidR="00C62349" w:rsidRDefault="00C62349" w:rsidP="00C62349">
      <w:pPr>
        <w:pStyle w:val="ListParagraph"/>
        <w:numPr>
          <w:ilvl w:val="0"/>
          <w:numId w:val="3"/>
        </w:numPr>
      </w:pPr>
      <w:r>
        <w:t xml:space="preserve">Bring 2 early SME adopters to start </w:t>
      </w:r>
      <w:r w:rsidR="00B51865">
        <w:t>training the model.</w:t>
      </w:r>
    </w:p>
    <w:p w:rsidR="00EA47F4" w:rsidRDefault="00EA47F4" w:rsidP="00C62349">
      <w:pPr>
        <w:pStyle w:val="ListParagraph"/>
        <w:numPr>
          <w:ilvl w:val="0"/>
          <w:numId w:val="3"/>
        </w:numPr>
      </w:pPr>
      <w:r>
        <w:t>Create an onboarding experience so clients understand the feature and its value.</w:t>
      </w:r>
    </w:p>
    <w:p w:rsidR="00B646BD" w:rsidRDefault="00B646BD" w:rsidP="00C62349">
      <w:pPr>
        <w:pStyle w:val="ListParagraph"/>
        <w:numPr>
          <w:ilvl w:val="0"/>
          <w:numId w:val="3"/>
        </w:numPr>
      </w:pPr>
      <w:r>
        <w:t>Measure feature usage</w:t>
      </w:r>
      <w:r w:rsidR="00277395">
        <w:t>.</w:t>
      </w:r>
      <w:r>
        <w:t xml:space="preserve"> </w:t>
      </w:r>
    </w:p>
    <w:p w:rsidR="004475A4" w:rsidRDefault="00B51865" w:rsidP="00C62349">
      <w:pPr>
        <w:pStyle w:val="ListParagraph"/>
        <w:numPr>
          <w:ilvl w:val="0"/>
          <w:numId w:val="3"/>
        </w:numPr>
      </w:pPr>
      <w:r>
        <w:t>XAI model must continually learn and become more accurate</w:t>
      </w:r>
      <w:r w:rsidR="00DB411B">
        <w:t xml:space="preserve"> over time</w:t>
      </w:r>
      <w:r>
        <w:t>.</w:t>
      </w:r>
    </w:p>
    <w:p w:rsidR="009520AC" w:rsidRDefault="00D61599" w:rsidP="009520AC">
      <w:pPr>
        <w:pStyle w:val="Heading2"/>
      </w:pPr>
      <w:r>
        <w:br/>
      </w:r>
      <w:r w:rsidR="009520AC">
        <w:t>Target Users</w:t>
      </w:r>
    </w:p>
    <w:p w:rsidR="009520AC" w:rsidRDefault="009520AC" w:rsidP="00836F66">
      <w:pPr>
        <w:pStyle w:val="ListParagraph"/>
        <w:numPr>
          <w:ilvl w:val="0"/>
          <w:numId w:val="4"/>
        </w:numPr>
      </w:pPr>
      <w:r>
        <w:t>Small Business Clients (SME’s)</w:t>
      </w:r>
    </w:p>
    <w:p w:rsidR="00C62349" w:rsidRDefault="00D61599" w:rsidP="009520AC">
      <w:pPr>
        <w:pStyle w:val="Heading2"/>
      </w:pPr>
      <w:r>
        <w:br/>
      </w:r>
      <w:r w:rsidR="004475A4">
        <w:t>In Scope</w:t>
      </w:r>
    </w:p>
    <w:p w:rsidR="00C62349" w:rsidRDefault="00747F93" w:rsidP="004475A4">
      <w:pPr>
        <w:pStyle w:val="ListParagraph"/>
        <w:numPr>
          <w:ilvl w:val="0"/>
          <w:numId w:val="4"/>
        </w:numPr>
      </w:pPr>
      <w:r>
        <w:t>Use 3 key data sources: CWB core banking, Moody’s and SME accounting data; accounting data is considered as key differentiating factor for CWB</w:t>
      </w:r>
      <w:r w:rsidR="004475A4">
        <w:t>.</w:t>
      </w:r>
    </w:p>
    <w:p w:rsidR="00747F93" w:rsidRDefault="00747F93" w:rsidP="004475A4">
      <w:pPr>
        <w:pStyle w:val="ListParagraph"/>
        <w:numPr>
          <w:ilvl w:val="0"/>
          <w:numId w:val="4"/>
        </w:numPr>
      </w:pPr>
      <w:r>
        <w:t>Integration with CODAT; clients must be able to authorize access from Digital Banking</w:t>
      </w:r>
      <w:r w:rsidR="009520AC">
        <w:t>.</w:t>
      </w:r>
    </w:p>
    <w:p w:rsidR="00CE7D14" w:rsidRDefault="00747F93" w:rsidP="00CE7D14">
      <w:pPr>
        <w:pStyle w:val="ListParagraph"/>
        <w:numPr>
          <w:ilvl w:val="0"/>
          <w:numId w:val="4"/>
        </w:numPr>
      </w:pPr>
      <w:r>
        <w:t xml:space="preserve">Leverage out of the box </w:t>
      </w:r>
      <w:proofErr w:type="spellStart"/>
      <w:r>
        <w:t>Temenos</w:t>
      </w:r>
      <w:proofErr w:type="spellEnd"/>
      <w:r>
        <w:t xml:space="preserve"> XAI mode</w:t>
      </w:r>
      <w:r w:rsidR="009520AC">
        <w:t>l including</w:t>
      </w:r>
      <w:r w:rsidR="00CE7D14">
        <w:t xml:space="preserve"> analysis </w:t>
      </w:r>
      <w:r w:rsidR="00FA317D">
        <w:t xml:space="preserve">and insights </w:t>
      </w:r>
      <w:r w:rsidR="00CE7D14">
        <w:t>of cash flow</w:t>
      </w:r>
      <w:r w:rsidR="00866D8B">
        <w:t xml:space="preserve"> and </w:t>
      </w:r>
      <w:r w:rsidR="00CE7D14">
        <w:t>accounting</w:t>
      </w:r>
      <w:r w:rsidR="00866D8B">
        <w:t xml:space="preserve"> data</w:t>
      </w:r>
      <w:r w:rsidR="00836F66">
        <w:t>.</w:t>
      </w:r>
      <w:r w:rsidR="00CE7D14">
        <w:t xml:space="preserve"> </w:t>
      </w:r>
    </w:p>
    <w:p w:rsidR="004475A4" w:rsidRDefault="004475A4" w:rsidP="004475A4">
      <w:pPr>
        <w:pStyle w:val="ListParagraph"/>
        <w:numPr>
          <w:ilvl w:val="0"/>
          <w:numId w:val="4"/>
        </w:numPr>
      </w:pPr>
      <w:r>
        <w:t xml:space="preserve">Use </w:t>
      </w:r>
      <w:r w:rsidR="00CE7D14">
        <w:t>API method in order to have most flexibility in application</w:t>
      </w:r>
      <w:r w:rsidR="00FA317D">
        <w:t xml:space="preserve"> and experience</w:t>
      </w:r>
      <w:r w:rsidR="001D3DFD">
        <w:t>.</w:t>
      </w:r>
    </w:p>
    <w:p w:rsidR="00FA317D" w:rsidRDefault="001D3DFD" w:rsidP="004475A4">
      <w:pPr>
        <w:pStyle w:val="ListParagraph"/>
        <w:numPr>
          <w:ilvl w:val="0"/>
          <w:numId w:val="4"/>
        </w:numPr>
      </w:pPr>
      <w:r>
        <w:t>CWB branding for graphs, charts and other UI components</w:t>
      </w:r>
      <w:r w:rsidR="000800E3">
        <w:t>.</w:t>
      </w:r>
    </w:p>
    <w:p w:rsidR="001D3DFD" w:rsidRDefault="001D3DFD" w:rsidP="004475A4">
      <w:pPr>
        <w:pStyle w:val="ListParagraph"/>
        <w:numPr>
          <w:ilvl w:val="0"/>
          <w:numId w:val="4"/>
        </w:numPr>
      </w:pPr>
      <w:r>
        <w:t xml:space="preserve">Insights generated must be in </w:t>
      </w:r>
      <w:r w:rsidR="004B4968">
        <w:t xml:space="preserve">friendly, </w:t>
      </w:r>
      <w:r>
        <w:t xml:space="preserve">understandable </w:t>
      </w:r>
      <w:r w:rsidR="004B4968">
        <w:t xml:space="preserve">and clear </w:t>
      </w:r>
      <w:r>
        <w:t>language.</w:t>
      </w:r>
    </w:p>
    <w:p w:rsidR="00CE7D14" w:rsidRDefault="00CE7D14" w:rsidP="00CE7D14">
      <w:pPr>
        <w:pStyle w:val="ListParagraph"/>
        <w:numPr>
          <w:ilvl w:val="0"/>
          <w:numId w:val="4"/>
        </w:numPr>
      </w:pPr>
      <w:r>
        <w:t>Define consent model</w:t>
      </w:r>
      <w:r w:rsidR="001D3DFD">
        <w:t>.</w:t>
      </w:r>
    </w:p>
    <w:p w:rsidR="00836F66" w:rsidRDefault="00836F66" w:rsidP="00CE7D14">
      <w:pPr>
        <w:pStyle w:val="ListParagraph"/>
        <w:numPr>
          <w:ilvl w:val="0"/>
          <w:numId w:val="4"/>
        </w:numPr>
      </w:pPr>
      <w:r>
        <w:t>Ensure security of data access and exchange of information</w:t>
      </w:r>
      <w:r w:rsidR="001D3DFD">
        <w:t>.</w:t>
      </w:r>
    </w:p>
    <w:p w:rsidR="00277395" w:rsidRDefault="00277395" w:rsidP="00CE7D14">
      <w:pPr>
        <w:pStyle w:val="ListParagraph"/>
        <w:numPr>
          <w:ilvl w:val="0"/>
          <w:numId w:val="4"/>
        </w:numPr>
      </w:pPr>
      <w:r>
        <w:t>Ensure change management plan is in place</w:t>
      </w:r>
      <w:r w:rsidR="00E048C7">
        <w:t>.</w:t>
      </w:r>
    </w:p>
    <w:p w:rsidR="000153AC" w:rsidRDefault="00B212FB" w:rsidP="00CE7D14">
      <w:pPr>
        <w:pStyle w:val="ListParagraph"/>
        <w:numPr>
          <w:ilvl w:val="0"/>
          <w:numId w:val="4"/>
        </w:numPr>
      </w:pPr>
      <w:r>
        <w:t xml:space="preserve">Cash Flow </w:t>
      </w:r>
      <w:r w:rsidR="000153AC">
        <w:t>Simulation (</w:t>
      </w:r>
      <w:r>
        <w:t>I</w:t>
      </w:r>
      <w:r w:rsidR="000153AC">
        <w:t>POC</w:t>
      </w:r>
      <w:r>
        <w:t xml:space="preserve"> – SME Platform</w:t>
      </w:r>
      <w:r w:rsidR="000153AC">
        <w:t>)</w:t>
      </w:r>
      <w:r w:rsidR="00D0788C">
        <w:t>.</w:t>
      </w:r>
    </w:p>
    <w:p w:rsidR="00836F66" w:rsidRDefault="00836F66" w:rsidP="00836F66">
      <w:pPr>
        <w:pStyle w:val="Heading2"/>
      </w:pPr>
      <w:r>
        <w:lastRenderedPageBreak/>
        <w:t>Out of scope for Phase 1</w:t>
      </w:r>
    </w:p>
    <w:p w:rsidR="00836F66" w:rsidRDefault="00836F66" w:rsidP="00836F66">
      <w:pPr>
        <w:pStyle w:val="ListParagraph"/>
        <w:numPr>
          <w:ilvl w:val="0"/>
          <w:numId w:val="5"/>
        </w:numPr>
      </w:pPr>
      <w:r>
        <w:t>Purchase of data sources</w:t>
      </w:r>
    </w:p>
    <w:p w:rsidR="00836F66" w:rsidRDefault="00836F66" w:rsidP="00836F66">
      <w:pPr>
        <w:pStyle w:val="ListParagraph"/>
        <w:numPr>
          <w:ilvl w:val="0"/>
          <w:numId w:val="5"/>
        </w:numPr>
      </w:pPr>
      <w:r>
        <w:t xml:space="preserve">Advanced analysis of </w:t>
      </w:r>
      <w:r w:rsidR="00B51865">
        <w:t>cash flow and accounting (none out of the box</w:t>
      </w:r>
      <w:r w:rsidR="005D5619">
        <w:t xml:space="preserve"> XAI</w:t>
      </w:r>
      <w:r w:rsidR="00B51865">
        <w:t xml:space="preserve"> insights)</w:t>
      </w:r>
    </w:p>
    <w:p w:rsidR="00177295" w:rsidRDefault="00836F66" w:rsidP="00177295">
      <w:pPr>
        <w:pStyle w:val="ListParagraph"/>
        <w:numPr>
          <w:ilvl w:val="0"/>
          <w:numId w:val="5"/>
        </w:numPr>
      </w:pPr>
      <w:r>
        <w:t>Integration with other bank</w:t>
      </w:r>
      <w:r w:rsidR="00EA47F4">
        <w:t>s</w:t>
      </w:r>
    </w:p>
    <w:p w:rsidR="000153AC" w:rsidRDefault="000153AC" w:rsidP="000153AC"/>
    <w:p w:rsidR="000153AC" w:rsidRDefault="000153AC" w:rsidP="000153AC"/>
    <w:tbl>
      <w:tblPr>
        <w:tblStyle w:val="TableGrid"/>
        <w:tblW w:w="0" w:type="auto"/>
        <w:tblLook w:val="04A0" w:firstRow="1" w:lastRow="0" w:firstColumn="1" w:lastColumn="0" w:noHBand="0" w:noVBand="1"/>
      </w:tblPr>
      <w:tblGrid>
        <w:gridCol w:w="3116"/>
        <w:gridCol w:w="3117"/>
        <w:gridCol w:w="3117"/>
      </w:tblGrid>
      <w:tr w:rsidR="000153AC" w:rsidTr="000153AC">
        <w:tc>
          <w:tcPr>
            <w:tcW w:w="3116" w:type="dxa"/>
            <w:shd w:val="clear" w:color="auto" w:fill="C5E0B3" w:themeFill="accent6" w:themeFillTint="66"/>
          </w:tcPr>
          <w:p w:rsidR="000153AC" w:rsidRPr="000153AC" w:rsidRDefault="000153AC" w:rsidP="000153AC">
            <w:pPr>
              <w:rPr>
                <w:b/>
              </w:rPr>
            </w:pPr>
          </w:p>
        </w:tc>
        <w:tc>
          <w:tcPr>
            <w:tcW w:w="3117" w:type="dxa"/>
            <w:shd w:val="clear" w:color="auto" w:fill="C5E0B3" w:themeFill="accent6" w:themeFillTint="66"/>
          </w:tcPr>
          <w:p w:rsidR="000153AC" w:rsidRPr="000153AC" w:rsidRDefault="000153AC" w:rsidP="000153AC">
            <w:pPr>
              <w:rPr>
                <w:b/>
              </w:rPr>
            </w:pPr>
            <w:r w:rsidRPr="000153AC">
              <w:rPr>
                <w:b/>
              </w:rPr>
              <w:t>Digital Banking (DBX)</w:t>
            </w:r>
          </w:p>
        </w:tc>
        <w:tc>
          <w:tcPr>
            <w:tcW w:w="3117" w:type="dxa"/>
            <w:shd w:val="clear" w:color="auto" w:fill="C5E0B3" w:themeFill="accent6" w:themeFillTint="66"/>
          </w:tcPr>
          <w:p w:rsidR="000153AC" w:rsidRPr="000153AC" w:rsidRDefault="000153AC" w:rsidP="000153AC">
            <w:pPr>
              <w:rPr>
                <w:b/>
              </w:rPr>
            </w:pPr>
            <w:r w:rsidRPr="000153AC">
              <w:rPr>
                <w:b/>
              </w:rPr>
              <w:t>IPOC (SME Platform)</w:t>
            </w:r>
          </w:p>
        </w:tc>
      </w:tr>
      <w:tr w:rsidR="000153AC" w:rsidTr="000153AC">
        <w:tc>
          <w:tcPr>
            <w:tcW w:w="3116" w:type="dxa"/>
          </w:tcPr>
          <w:p w:rsidR="000153AC" w:rsidRDefault="000153AC" w:rsidP="000153AC">
            <w:r>
              <w:t>XAI Cash Flow Model</w:t>
            </w:r>
          </w:p>
        </w:tc>
        <w:tc>
          <w:tcPr>
            <w:tcW w:w="3117" w:type="dxa"/>
          </w:tcPr>
          <w:p w:rsidR="000153AC" w:rsidRDefault="000153AC" w:rsidP="000153AC">
            <w:r>
              <w:t>x</w:t>
            </w:r>
          </w:p>
        </w:tc>
        <w:tc>
          <w:tcPr>
            <w:tcW w:w="3117" w:type="dxa"/>
          </w:tcPr>
          <w:p w:rsidR="000153AC" w:rsidRDefault="000153AC" w:rsidP="000153AC">
            <w:r>
              <w:t>x</w:t>
            </w:r>
          </w:p>
        </w:tc>
      </w:tr>
      <w:tr w:rsidR="000153AC" w:rsidTr="000153AC">
        <w:tc>
          <w:tcPr>
            <w:tcW w:w="3116" w:type="dxa"/>
          </w:tcPr>
          <w:p w:rsidR="000153AC" w:rsidRDefault="000153AC" w:rsidP="00E416CD">
            <w:pPr>
              <w:ind w:left="720"/>
            </w:pPr>
            <w:r>
              <w:t xml:space="preserve">Display and Prediction </w:t>
            </w:r>
            <w:r>
              <w:t xml:space="preserve"> (</w:t>
            </w:r>
            <w:r w:rsidR="00E416CD">
              <w:t>Key insights)</w:t>
            </w:r>
          </w:p>
        </w:tc>
        <w:tc>
          <w:tcPr>
            <w:tcW w:w="3117" w:type="dxa"/>
          </w:tcPr>
          <w:p w:rsidR="000153AC" w:rsidRDefault="000153AC" w:rsidP="000153AC">
            <w:r>
              <w:t>x</w:t>
            </w:r>
          </w:p>
        </w:tc>
        <w:tc>
          <w:tcPr>
            <w:tcW w:w="3117" w:type="dxa"/>
          </w:tcPr>
          <w:p w:rsidR="000153AC" w:rsidRDefault="000153AC" w:rsidP="000153AC">
            <w:r>
              <w:t>x</w:t>
            </w:r>
          </w:p>
        </w:tc>
      </w:tr>
      <w:tr w:rsidR="000153AC" w:rsidTr="000153AC">
        <w:tc>
          <w:tcPr>
            <w:tcW w:w="3116" w:type="dxa"/>
          </w:tcPr>
          <w:p w:rsidR="000153AC" w:rsidRDefault="000153AC" w:rsidP="000153AC">
            <w:pPr>
              <w:ind w:left="720"/>
            </w:pPr>
            <w:r>
              <w:t>CWB Core Banking Data</w:t>
            </w:r>
          </w:p>
        </w:tc>
        <w:tc>
          <w:tcPr>
            <w:tcW w:w="3117" w:type="dxa"/>
          </w:tcPr>
          <w:p w:rsidR="000153AC" w:rsidRDefault="000153AC" w:rsidP="000153AC">
            <w:r>
              <w:t>x</w:t>
            </w:r>
          </w:p>
        </w:tc>
        <w:tc>
          <w:tcPr>
            <w:tcW w:w="3117" w:type="dxa"/>
          </w:tcPr>
          <w:p w:rsidR="000153AC" w:rsidRDefault="000153AC" w:rsidP="000153AC">
            <w:r>
              <w:t>x</w:t>
            </w:r>
          </w:p>
        </w:tc>
      </w:tr>
      <w:tr w:rsidR="000153AC" w:rsidTr="000153AC">
        <w:tc>
          <w:tcPr>
            <w:tcW w:w="3116" w:type="dxa"/>
          </w:tcPr>
          <w:p w:rsidR="000153AC" w:rsidRDefault="000153AC" w:rsidP="000153AC">
            <w:pPr>
              <w:ind w:left="720"/>
            </w:pPr>
            <w:r>
              <w:t>Moody’s</w:t>
            </w:r>
          </w:p>
        </w:tc>
        <w:tc>
          <w:tcPr>
            <w:tcW w:w="3117" w:type="dxa"/>
          </w:tcPr>
          <w:p w:rsidR="000153AC" w:rsidRDefault="000153AC" w:rsidP="000153AC">
            <w:r>
              <w:t>x</w:t>
            </w:r>
          </w:p>
        </w:tc>
        <w:tc>
          <w:tcPr>
            <w:tcW w:w="3117" w:type="dxa"/>
          </w:tcPr>
          <w:p w:rsidR="000153AC" w:rsidRDefault="000153AC" w:rsidP="000153AC">
            <w:r>
              <w:t>x</w:t>
            </w:r>
          </w:p>
        </w:tc>
      </w:tr>
      <w:tr w:rsidR="000153AC" w:rsidTr="000153AC">
        <w:tc>
          <w:tcPr>
            <w:tcW w:w="3116" w:type="dxa"/>
          </w:tcPr>
          <w:p w:rsidR="000153AC" w:rsidRDefault="000153AC" w:rsidP="00F13B08">
            <w:r>
              <w:t>CODAT Integration</w:t>
            </w:r>
          </w:p>
        </w:tc>
        <w:tc>
          <w:tcPr>
            <w:tcW w:w="3117" w:type="dxa"/>
          </w:tcPr>
          <w:p w:rsidR="000153AC" w:rsidRDefault="000153AC" w:rsidP="000153AC">
            <w:r>
              <w:t>x</w:t>
            </w:r>
          </w:p>
        </w:tc>
        <w:tc>
          <w:tcPr>
            <w:tcW w:w="3117" w:type="dxa"/>
          </w:tcPr>
          <w:p w:rsidR="000153AC" w:rsidRDefault="000153AC" w:rsidP="000153AC">
            <w:r>
              <w:t>x</w:t>
            </w:r>
          </w:p>
        </w:tc>
      </w:tr>
      <w:tr w:rsidR="000153AC" w:rsidTr="000153AC">
        <w:tc>
          <w:tcPr>
            <w:tcW w:w="3116" w:type="dxa"/>
          </w:tcPr>
          <w:p w:rsidR="000153AC" w:rsidRDefault="000153AC" w:rsidP="000153AC">
            <w:pPr>
              <w:ind w:left="720"/>
            </w:pPr>
            <w:r>
              <w:t>Accounting Data</w:t>
            </w:r>
          </w:p>
        </w:tc>
        <w:tc>
          <w:tcPr>
            <w:tcW w:w="3117" w:type="dxa"/>
          </w:tcPr>
          <w:p w:rsidR="000153AC" w:rsidRDefault="000153AC" w:rsidP="000153AC">
            <w:r>
              <w:t>x</w:t>
            </w:r>
          </w:p>
        </w:tc>
        <w:tc>
          <w:tcPr>
            <w:tcW w:w="3117" w:type="dxa"/>
          </w:tcPr>
          <w:p w:rsidR="000153AC" w:rsidRDefault="000153AC" w:rsidP="000153AC">
            <w:r>
              <w:t>x</w:t>
            </w:r>
          </w:p>
        </w:tc>
      </w:tr>
      <w:tr w:rsidR="000153AC" w:rsidTr="000153AC">
        <w:tc>
          <w:tcPr>
            <w:tcW w:w="3116" w:type="dxa"/>
          </w:tcPr>
          <w:p w:rsidR="000153AC" w:rsidRDefault="000153AC" w:rsidP="00F13B08">
            <w:pPr>
              <w:ind w:left="720"/>
            </w:pPr>
            <w:r>
              <w:t>SSO</w:t>
            </w:r>
            <w:r w:rsidR="00D0788C">
              <w:t xml:space="preserve"> Integration</w:t>
            </w:r>
          </w:p>
        </w:tc>
        <w:tc>
          <w:tcPr>
            <w:tcW w:w="3117" w:type="dxa"/>
          </w:tcPr>
          <w:p w:rsidR="000153AC" w:rsidRDefault="00383E1E" w:rsidP="000153AC">
            <w:r>
              <w:t>x</w:t>
            </w:r>
          </w:p>
        </w:tc>
        <w:tc>
          <w:tcPr>
            <w:tcW w:w="3117" w:type="dxa"/>
          </w:tcPr>
          <w:p w:rsidR="000153AC" w:rsidRDefault="000153AC" w:rsidP="000153AC">
            <w:r>
              <w:t>x</w:t>
            </w:r>
          </w:p>
        </w:tc>
      </w:tr>
      <w:tr w:rsidR="00D0788C" w:rsidTr="000153AC">
        <w:tc>
          <w:tcPr>
            <w:tcW w:w="3116" w:type="dxa"/>
          </w:tcPr>
          <w:p w:rsidR="00D0788C" w:rsidRDefault="00D0788C" w:rsidP="00D0788C">
            <w:r>
              <w:t>Cash Flow Simulation</w:t>
            </w:r>
          </w:p>
        </w:tc>
        <w:tc>
          <w:tcPr>
            <w:tcW w:w="3117" w:type="dxa"/>
          </w:tcPr>
          <w:p w:rsidR="00D0788C" w:rsidRDefault="00D0788C" w:rsidP="00D0788C"/>
        </w:tc>
        <w:tc>
          <w:tcPr>
            <w:tcW w:w="3117" w:type="dxa"/>
          </w:tcPr>
          <w:p w:rsidR="00D0788C" w:rsidRDefault="00D0788C" w:rsidP="00D0788C">
            <w:r>
              <w:t>x</w:t>
            </w:r>
          </w:p>
        </w:tc>
      </w:tr>
      <w:tr w:rsidR="00D0788C" w:rsidTr="000153AC">
        <w:tc>
          <w:tcPr>
            <w:tcW w:w="3116" w:type="dxa"/>
          </w:tcPr>
          <w:p w:rsidR="00D0788C" w:rsidRDefault="00D0788C" w:rsidP="00D0788C">
            <w:proofErr w:type="spellStart"/>
            <w:r>
              <w:t>Temenos</w:t>
            </w:r>
            <w:proofErr w:type="spellEnd"/>
            <w:r>
              <w:t xml:space="preserve"> Data Team</w:t>
            </w:r>
          </w:p>
        </w:tc>
        <w:tc>
          <w:tcPr>
            <w:tcW w:w="3117" w:type="dxa"/>
          </w:tcPr>
          <w:p w:rsidR="00D0788C" w:rsidRDefault="00D0788C" w:rsidP="00D0788C">
            <w:r>
              <w:t>x</w:t>
            </w:r>
          </w:p>
        </w:tc>
        <w:tc>
          <w:tcPr>
            <w:tcW w:w="3117" w:type="dxa"/>
          </w:tcPr>
          <w:p w:rsidR="00D0788C" w:rsidRDefault="00D0788C" w:rsidP="00D0788C">
            <w:r>
              <w:t>x</w:t>
            </w:r>
          </w:p>
        </w:tc>
      </w:tr>
      <w:tr w:rsidR="00D0788C" w:rsidTr="000153AC">
        <w:tc>
          <w:tcPr>
            <w:tcW w:w="3116" w:type="dxa"/>
          </w:tcPr>
          <w:p w:rsidR="00D0788C" w:rsidRDefault="00D0788C" w:rsidP="00D0788C">
            <w:proofErr w:type="spellStart"/>
            <w:r>
              <w:t>Temenos</w:t>
            </w:r>
            <w:proofErr w:type="spellEnd"/>
            <w:r>
              <w:t xml:space="preserve"> Development Team</w:t>
            </w:r>
          </w:p>
        </w:tc>
        <w:tc>
          <w:tcPr>
            <w:tcW w:w="3117" w:type="dxa"/>
          </w:tcPr>
          <w:p w:rsidR="00D0788C" w:rsidRDefault="00D0788C" w:rsidP="00D0788C">
            <w:r>
              <w:t>x</w:t>
            </w:r>
          </w:p>
        </w:tc>
        <w:tc>
          <w:tcPr>
            <w:tcW w:w="3117" w:type="dxa"/>
          </w:tcPr>
          <w:p w:rsidR="00D0788C" w:rsidRDefault="00D0788C" w:rsidP="00D0788C"/>
        </w:tc>
      </w:tr>
      <w:tr w:rsidR="00D0788C" w:rsidTr="000153AC">
        <w:tc>
          <w:tcPr>
            <w:tcW w:w="3116" w:type="dxa"/>
          </w:tcPr>
          <w:p w:rsidR="00D0788C" w:rsidRDefault="00D0788C" w:rsidP="00D0788C">
            <w:proofErr w:type="spellStart"/>
            <w:r>
              <w:t>Temenos</w:t>
            </w:r>
            <w:proofErr w:type="spellEnd"/>
            <w:r>
              <w:t xml:space="preserve"> Innovation Team</w:t>
            </w:r>
          </w:p>
        </w:tc>
        <w:tc>
          <w:tcPr>
            <w:tcW w:w="3117" w:type="dxa"/>
          </w:tcPr>
          <w:p w:rsidR="00D0788C" w:rsidRDefault="00D0788C" w:rsidP="00D0788C"/>
        </w:tc>
        <w:tc>
          <w:tcPr>
            <w:tcW w:w="3117" w:type="dxa"/>
          </w:tcPr>
          <w:p w:rsidR="00D0788C" w:rsidRDefault="00D0788C" w:rsidP="00D0788C">
            <w:r>
              <w:t>x</w:t>
            </w:r>
          </w:p>
        </w:tc>
      </w:tr>
    </w:tbl>
    <w:p w:rsidR="000153AC" w:rsidRDefault="000153AC" w:rsidP="000153AC">
      <w:bookmarkStart w:id="0" w:name="_GoBack"/>
      <w:bookmarkEnd w:id="0"/>
    </w:p>
    <w:sectPr w:rsidR="000153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114687"/>
    <w:multiLevelType w:val="hybridMultilevel"/>
    <w:tmpl w:val="E304C9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C0906CD"/>
    <w:multiLevelType w:val="hybridMultilevel"/>
    <w:tmpl w:val="41385C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36C5A9A"/>
    <w:multiLevelType w:val="hybridMultilevel"/>
    <w:tmpl w:val="B1EA028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268086E"/>
    <w:multiLevelType w:val="hybridMultilevel"/>
    <w:tmpl w:val="0746507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8B65650"/>
    <w:multiLevelType w:val="hybridMultilevel"/>
    <w:tmpl w:val="F6220C2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9D6"/>
    <w:rsid w:val="000153AC"/>
    <w:rsid w:val="000800E3"/>
    <w:rsid w:val="000F7904"/>
    <w:rsid w:val="00177295"/>
    <w:rsid w:val="00196F4D"/>
    <w:rsid w:val="001B2460"/>
    <w:rsid w:val="001D0EDB"/>
    <w:rsid w:val="001D3DFD"/>
    <w:rsid w:val="00232B6C"/>
    <w:rsid w:val="00277395"/>
    <w:rsid w:val="00296008"/>
    <w:rsid w:val="002F0747"/>
    <w:rsid w:val="00323B90"/>
    <w:rsid w:val="00357FCC"/>
    <w:rsid w:val="003602F4"/>
    <w:rsid w:val="00383E1E"/>
    <w:rsid w:val="003E29D6"/>
    <w:rsid w:val="004475A4"/>
    <w:rsid w:val="004A057C"/>
    <w:rsid w:val="004B4968"/>
    <w:rsid w:val="005D5619"/>
    <w:rsid w:val="00600A72"/>
    <w:rsid w:val="006D3595"/>
    <w:rsid w:val="00747F93"/>
    <w:rsid w:val="00823E48"/>
    <w:rsid w:val="00836F66"/>
    <w:rsid w:val="00866D8B"/>
    <w:rsid w:val="008B37BF"/>
    <w:rsid w:val="009520AC"/>
    <w:rsid w:val="00B212FB"/>
    <w:rsid w:val="00B51865"/>
    <w:rsid w:val="00B646BD"/>
    <w:rsid w:val="00B73606"/>
    <w:rsid w:val="00C62349"/>
    <w:rsid w:val="00CE7D14"/>
    <w:rsid w:val="00D0788C"/>
    <w:rsid w:val="00D61599"/>
    <w:rsid w:val="00DB411B"/>
    <w:rsid w:val="00DB75AA"/>
    <w:rsid w:val="00DD1A88"/>
    <w:rsid w:val="00E048C7"/>
    <w:rsid w:val="00E416CD"/>
    <w:rsid w:val="00E66062"/>
    <w:rsid w:val="00EA47F4"/>
    <w:rsid w:val="00EE3EA7"/>
    <w:rsid w:val="00F13B08"/>
    <w:rsid w:val="00F45D87"/>
    <w:rsid w:val="00FA317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C281E"/>
  <w15:chartTrackingRefBased/>
  <w15:docId w15:val="{23C19E1B-7799-4F12-8FF5-18D1CFC55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6234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6234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3EA7"/>
    <w:pPr>
      <w:ind w:left="720"/>
      <w:contextualSpacing/>
    </w:pPr>
  </w:style>
  <w:style w:type="character" w:customStyle="1" w:styleId="Heading1Char">
    <w:name w:val="Heading 1 Char"/>
    <w:basedOn w:val="DefaultParagraphFont"/>
    <w:link w:val="Heading1"/>
    <w:uiPriority w:val="9"/>
    <w:rsid w:val="00C6234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62349"/>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015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29E4CA-ACE8-4134-B77D-FE8E58C08DF4}"/>
</file>

<file path=customXml/itemProps2.xml><?xml version="1.0" encoding="utf-8"?>
<ds:datastoreItem xmlns:ds="http://schemas.openxmlformats.org/officeDocument/2006/customXml" ds:itemID="{EDE4E490-F240-4A40-8B9C-8D681BB663C8}"/>
</file>

<file path=customXml/itemProps3.xml><?xml version="1.0" encoding="utf-8"?>
<ds:datastoreItem xmlns:ds="http://schemas.openxmlformats.org/officeDocument/2006/customXml" ds:itemID="{F02D9F7B-777D-457A-AD07-90F543F396FC}"/>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344</TotalTime>
  <Pages>2</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Canadian Western Bank</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level Scope of the project</dc:title>
  <dc:subject/>
  <dc:creator>Edmund Chua</dc:creator>
  <cp:keywords/>
  <dc:description/>
  <cp:lastModifiedBy>Edmund Chua</cp:lastModifiedBy>
  <cp:revision>40</cp:revision>
  <dcterms:created xsi:type="dcterms:W3CDTF">2020-09-16T20:07:00Z</dcterms:created>
  <dcterms:modified xsi:type="dcterms:W3CDTF">2020-09-22T18:59:00Z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520200</vt:r8>
  </property>
  <property fmtid="{D5CDD505-2E9C-101B-9397-08002B2CF9AE}" pid="4" name="URL">
    <vt:lpwstr/>
  </property>
</Properties>
</file>