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588"/>
          <w:sz w:val="44"/>
        </w:rPr>
        <w:t>Smart Campus IoT</w:t>
        <w:br/>
        <w:t>Simulation and Analytics Platform</w:t>
      </w:r>
    </w:p>
    <w:p/>
    <w:p>
      <w:pPr>
        <w:jc w:val="center"/>
      </w:pPr>
      <w:r>
        <w:rPr>
          <w:sz w:val="24"/>
        </w:rPr>
        <w:t>Course: Internet of Things</w:t>
        <w:br/>
        <w:t>Program: Master of IT</w:t>
        <w:br/>
        <w:t>University: Sana'a University</w:t>
        <w:br/>
        <w:t>Supervisor: Dr. Ammar Zahary</w:t>
        <w:br/>
        <w:br/>
        <w:t>Team Members:</w:t>
        <w:br/>
        <w:t>1. Osama Haider</w:t>
        <w:br/>
        <w:t>2. Saba Al-wesabi</w:t>
        <w:br/>
        <w:br/>
        <w:t>Date: July 2026</w:t>
      </w:r>
    </w:p>
    <w:p>
      <w:r>
        <w:br w:type="page"/>
      </w:r>
    </w:p>
    <w:p>
      <w:pPr>
        <w:pStyle w:val="Heading1"/>
      </w:pPr>
      <w:r>
        <w:rPr>
          <w:color w:val="1F4588"/>
        </w:rPr>
        <w:t>Abstract</w:t>
      </w:r>
    </w:p>
    <w:p>
      <w:r>
        <w:t>This project presents a simulation-only Internet of Things platform for smart campus monitoring. Instead of using physical sensors and hardware boards, the system uses Python virtual devices to generate realistic telemetry from campus rooms. The simulated devices publish data to an MQTT broker using a structured topic hierarchy. A Python subscriber receives the data, validates the payload, calculates derived analytics values, and prints alerts for abnormal conditions. A Node-RED Dashboard flow visualizes live temperature, humidity, occupancy, alerts, and temperature trends.</w:t>
        <w:br/>
        <w:br/>
        <w:t>The selected wireless communication and network model is based on IEEE 802.15.4 / Zigbee-like specifications, which is highly suited for indoor university campus sensor networks that transmit small periodic packets at low power. To add a high degree of simulation realism, the software simulator implements packet loss rates, random propagation and queuing delays, dynamic Received Signal Strength Indicator (RSSI) levels, Link Quality Indication (LQI) metrics, cumulative energy consumption tracking (mWh), and battery depletion curves. This academic report details the design methodologies, protocol architectures, validation mechanisms, and visualization layers that compose the final system.</w:t>
      </w:r>
    </w:p>
    <w:p>
      <w:pPr>
        <w:pStyle w:val="Heading1"/>
      </w:pPr>
      <w:r>
        <w:rPr>
          <w:color w:val="1F4588"/>
        </w:rPr>
        <w:t>1. Problem Statement and Scenario</w:t>
      </w:r>
    </w:p>
    <w:p>
      <w:r>
        <w:t>Modern university campuses contain complex physical spaces including classrooms, lecture halls, administrative offices, scientific laboratories, and sensitive server infrastructures. Each of these zones presents distinct environmental, safety, and energy efficiency profiles that require continuous monitoring. For example, lecture halls require optimal micro-climates for student attentiveness, laboratories require strict air quality index (AQI) controls to protect occupants from chemical fumes, offices benefit from occupancy-based lighting to prevent electrical waste, and server rooms require micro-second temperature warning systems to prevent thermal damage to high-density server racks.</w:t>
        <w:br/>
        <w:br/>
        <w:t>Deploying physical hardware prototypes for validation can be prohibitively expensive, logistically complex, and time-consuming in an academic setting. Consequently, this project focuses on a comprehensive, software-driven IoT simulation platform that behaves identically to a real-world sensor deployment. The simulation models a smart campus environment consisting of seven distinct physical locations: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Device ID</w:t>
            </w:r>
          </w:p>
        </w:tc>
        <w:tc>
          <w:tcPr>
            <w:tcW w:type="dxa" w:w="2196"/>
          </w:tcPr>
          <w:p>
            <w:r>
              <w:rPr>
                <w:b/>
              </w:rPr>
              <w:t>Label</w:t>
            </w:r>
          </w:p>
        </w:tc>
        <w:tc>
          <w:tcPr>
            <w:tcW w:type="dxa" w:w="2196"/>
          </w:tcPr>
          <w:p>
            <w:r>
              <w:rPr>
                <w:b/>
              </w:rPr>
              <w:t>Building</w:t>
            </w:r>
          </w:p>
        </w:tc>
        <w:tc>
          <w:tcPr>
            <w:tcW w:type="dxa" w:w="2196"/>
          </w:tcPr>
          <w:p>
            <w:r>
              <w:rPr>
                <w:b/>
              </w:rPr>
              <w:t>Monitoring Purpose</w:t>
            </w:r>
          </w:p>
        </w:tc>
      </w:tr>
      <w:tr>
        <w:tc>
          <w:tcPr>
            <w:tcW w:type="dxa" w:w="2196"/>
          </w:tcPr>
          <w:p>
            <w:r>
              <w:t>hall_1_1</w:t>
            </w:r>
          </w:p>
        </w:tc>
        <w:tc>
          <w:tcPr>
            <w:tcW w:type="dxa" w:w="2196"/>
          </w:tcPr>
          <w:p>
            <w:r>
              <w:t>Hall 1.1</w:t>
            </w:r>
          </w:p>
        </w:tc>
        <w:tc>
          <w:tcPr>
            <w:tcW w:type="dxa" w:w="2196"/>
          </w:tcPr>
          <w:p>
            <w:r>
              <w:t>floor_1</w:t>
            </w:r>
          </w:p>
        </w:tc>
        <w:tc>
          <w:tcPr>
            <w:tcW w:type="dxa" w:w="2196"/>
          </w:tcPr>
          <w:p>
            <w:r>
              <w:t>Teaching – comfort &amp; occupancy</w:t>
            </w:r>
          </w:p>
        </w:tc>
      </w:tr>
      <w:tr>
        <w:tc>
          <w:tcPr>
            <w:tcW w:type="dxa" w:w="2196"/>
          </w:tcPr>
          <w:p>
            <w:r>
              <w:t>hall_1_2</w:t>
            </w:r>
          </w:p>
        </w:tc>
        <w:tc>
          <w:tcPr>
            <w:tcW w:type="dxa" w:w="2196"/>
          </w:tcPr>
          <w:p>
            <w:r>
              <w:t>Hall 1.2</w:t>
            </w:r>
          </w:p>
        </w:tc>
        <w:tc>
          <w:tcPr>
            <w:tcW w:type="dxa" w:w="2196"/>
          </w:tcPr>
          <w:p>
            <w:r>
              <w:t>floor_1</w:t>
            </w:r>
          </w:p>
        </w:tc>
        <w:tc>
          <w:tcPr>
            <w:tcW w:type="dxa" w:w="2196"/>
          </w:tcPr>
          <w:p>
            <w:r>
              <w:t>Teaching – comfort &amp; occupancy</w:t>
            </w:r>
          </w:p>
        </w:tc>
      </w:tr>
      <w:tr>
        <w:tc>
          <w:tcPr>
            <w:tcW w:type="dxa" w:w="2196"/>
          </w:tcPr>
          <w:p>
            <w:r>
              <w:t>hall_1_3</w:t>
            </w:r>
          </w:p>
        </w:tc>
        <w:tc>
          <w:tcPr>
            <w:tcW w:type="dxa" w:w="2196"/>
          </w:tcPr>
          <w:p>
            <w:r>
              <w:t>Hall 1.3</w:t>
            </w:r>
          </w:p>
        </w:tc>
        <w:tc>
          <w:tcPr>
            <w:tcW w:type="dxa" w:w="2196"/>
          </w:tcPr>
          <w:p>
            <w:r>
              <w:t>floor_1</w:t>
            </w:r>
          </w:p>
        </w:tc>
        <w:tc>
          <w:tcPr>
            <w:tcW w:type="dxa" w:w="2196"/>
          </w:tcPr>
          <w:p>
            <w:r>
              <w:t>Teaching – comfort &amp; occupancy</w:t>
            </w:r>
          </w:p>
        </w:tc>
      </w:tr>
      <w:tr>
        <w:tc>
          <w:tcPr>
            <w:tcW w:type="dxa" w:w="2196"/>
          </w:tcPr>
          <w:p>
            <w:r>
              <w:t>hall_1_4</w:t>
            </w:r>
          </w:p>
        </w:tc>
        <w:tc>
          <w:tcPr>
            <w:tcW w:type="dxa" w:w="2196"/>
          </w:tcPr>
          <w:p>
            <w:r>
              <w:t>Hall 1.4</w:t>
            </w:r>
          </w:p>
        </w:tc>
        <w:tc>
          <w:tcPr>
            <w:tcW w:type="dxa" w:w="2196"/>
          </w:tcPr>
          <w:p>
            <w:r>
              <w:t>floor_1</w:t>
            </w:r>
          </w:p>
        </w:tc>
        <w:tc>
          <w:tcPr>
            <w:tcW w:type="dxa" w:w="2196"/>
          </w:tcPr>
          <w:p>
            <w:r>
              <w:t>Teaching – comfort &amp; occupancy</w:t>
            </w:r>
          </w:p>
        </w:tc>
      </w:tr>
      <w:tr>
        <w:tc>
          <w:tcPr>
            <w:tcW w:type="dxa" w:w="2196"/>
          </w:tcPr>
          <w:p>
            <w:r>
              <w:t>server_room</w:t>
            </w:r>
          </w:p>
        </w:tc>
        <w:tc>
          <w:tcPr>
            <w:tcW w:type="dxa" w:w="2196"/>
          </w:tcPr>
          <w:p>
            <w:r>
              <w:t>Server Room</w:t>
            </w:r>
          </w:p>
        </w:tc>
        <w:tc>
          <w:tcPr>
            <w:tcW w:type="dxa" w:w="2196"/>
          </w:tcPr>
          <w:p>
            <w:r>
              <w:t>it_building</w:t>
            </w:r>
          </w:p>
        </w:tc>
        <w:tc>
          <w:tcPr>
            <w:tcW w:type="dxa" w:w="2196"/>
          </w:tcPr>
          <w:p>
            <w:r>
              <w:t>High-temperature risk monitoring</w:t>
            </w:r>
          </w:p>
        </w:tc>
      </w:tr>
      <w:tr>
        <w:tc>
          <w:tcPr>
            <w:tcW w:type="dxa" w:w="2196"/>
          </w:tcPr>
          <w:p>
            <w:r>
              <w:t>lab1</w:t>
            </w:r>
          </w:p>
        </w:tc>
        <w:tc>
          <w:tcPr>
            <w:tcW w:type="dxa" w:w="2196"/>
          </w:tcPr>
          <w:p>
            <w:r>
              <w:t>Lab 1</w:t>
            </w:r>
          </w:p>
        </w:tc>
        <w:tc>
          <w:tcPr>
            <w:tcW w:type="dxa" w:w="2196"/>
          </w:tcPr>
          <w:p>
            <w:r>
              <w:t>engineering_building</w:t>
            </w:r>
          </w:p>
        </w:tc>
        <w:tc>
          <w:tcPr>
            <w:tcW w:type="dxa" w:w="2196"/>
          </w:tcPr>
          <w:p>
            <w:r>
              <w:t>Lab comfort &amp; air quality</w:t>
            </w:r>
          </w:p>
        </w:tc>
      </w:tr>
      <w:tr>
        <w:tc>
          <w:tcPr>
            <w:tcW w:type="dxa" w:w="2196"/>
          </w:tcPr>
          <w:p>
            <w:r>
              <w:t>office1</w:t>
            </w:r>
          </w:p>
        </w:tc>
        <w:tc>
          <w:tcPr>
            <w:tcW w:type="dxa" w:w="2196"/>
          </w:tcPr>
          <w:p>
            <w:r>
              <w:t>Office 1</w:t>
            </w:r>
          </w:p>
        </w:tc>
        <w:tc>
          <w:tcPr>
            <w:tcW w:type="dxa" w:w="2196"/>
          </w:tcPr>
          <w:p>
            <w:r>
              <w:t>admin_building</w:t>
            </w:r>
          </w:p>
        </w:tc>
        <w:tc>
          <w:tcPr>
            <w:tcW w:type="dxa" w:w="2196"/>
          </w:tcPr>
          <w:p>
            <w:r>
              <w:t>Energy saving &amp; occupancy</w:t>
            </w:r>
          </w:p>
        </w:tc>
      </w:tr>
    </w:tbl>
    <w:p/>
    <w:p>
      <w:pPr>
        <w:pStyle w:val="Heading1"/>
      </w:pPr>
      <w:r>
        <w:rPr>
          <w:color w:val="1F4588"/>
        </w:rPr>
        <w:t>2. IoT Architecture</w:t>
      </w:r>
    </w:p>
    <w:p>
      <w:r>
        <w:t>To ensure modularity, scalability, and ease of maintenance, the platform follows a classic, standardized four-layer Internet of Things architecture. This logical division mimics industrial systems such as those built on Amazon Web Services (AWS) IoT Core or Microsoft Azure IoT Solutions:</w:t>
      </w:r>
    </w:p>
    <w:p>
      <w:pPr>
        <w:pStyle w:val="ListBullet"/>
      </w:pPr>
      <w:r>
        <w:rPr>
          <w:b/>
        </w:rPr>
        <w:t xml:space="preserve">Perception Layer: </w:t>
      </w:r>
      <w:r>
        <w:t>Python virtual devices simulate sensors for temperature, humidity, occupancy, light level, air quality, battery level, and device status.</w:t>
      </w:r>
    </w:p>
    <w:p>
      <w:pPr>
        <w:pStyle w:val="ListBullet"/>
      </w:pPr>
      <w:r>
        <w:rPr>
          <w:b/>
        </w:rPr>
        <w:t xml:space="preserve">Network Layer: </w:t>
      </w:r>
      <w:r>
        <w:t>MQTT protocol transfers telemetry using a structured topic hierarchy through the HiveMQ Public Broker. Communication is modeled as IEEE 802.15.4 / Zigbee-like.</w:t>
      </w:r>
    </w:p>
    <w:p>
      <w:pPr>
        <w:pStyle w:val="ListBullet"/>
      </w:pPr>
      <w:r>
        <w:rPr>
          <w:b/>
        </w:rPr>
        <w:t xml:space="preserve">Processing Layer: </w:t>
      </w:r>
      <w:r>
        <w:t>processing/subscriber.py subscribes using a wildcard topic, validates each message, computes derived values, and evaluates alert rules.</w:t>
      </w:r>
    </w:p>
    <w:p>
      <w:pPr>
        <w:pStyle w:val="ListBullet"/>
      </w:pPr>
      <w:r>
        <w:rPr>
          <w:b/>
        </w:rPr>
        <w:t xml:space="preserve">Application Layer: </w:t>
      </w:r>
      <w:r>
        <w:t>A Node-RED Dashboard displays live gauges, alert text, and a temperature line chart for all devices.</w:t>
      </w:r>
    </w:p>
    <w:p>
      <w:pPr>
        <w:pStyle w:val="Heading1"/>
      </w:pPr>
      <w:r>
        <w:rPr>
          <w:color w:val="1F4588"/>
        </w:rPr>
        <w:t>3. Wireless Communication Choice</w:t>
      </w:r>
    </w:p>
    <w:p>
      <w:r>
        <w:t xml:space="preserve">The perception layer relies on IEEE 802.15.4 physical and MAC layer characteristics, modeled via a Zigbee-like network profile. Unlike high-throughput local area networks (such as Wi-Fi) which operate under IEEE 802.11 standards, or wide-area outdoor solutions (such as LoRaWAN), Zigbee is specifically engineered for short-range, low-power, low-data-rate mesh topologies suitable for building automation. </w:t>
        <w:br/>
        <w:br/>
        <w:t>Sensors deployed in rooms do not require high bandwidth as they publish simple telemetry payloads containing float and integer readings. High-bandwidth protocols like Wi-Fi would cause excessive battery drain and present higher deployment overhead. LoRaWAN operates on sub-GHz frequencies (e.g., 868/915 MHz) and is optimized for long-range communication over several kilometers, making it over-engineered and legally restricted in terms of duty cycle for high-frequency indoor sampling (every 5 seconds). Zigbee's CSMA/CA channel access, mesh routing capabilities, and low-power sleep modes make it the ideal communication technology for this project. To mirror the real physical layer, the python simulator explicitly injects random queuing delays, LQI/RSSI fluctuations, packet drops, and incremental battery draw.</w:t>
      </w:r>
    </w:p>
    <w:p>
      <w:pPr>
        <w:pStyle w:val="Heading2"/>
      </w:pPr>
      <w:r>
        <w:rPr>
          <w:color w:val="2E74B5"/>
        </w:rPr>
        <w:t>Comparison with Other Wireless Types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Feature</w:t>
            </w:r>
          </w:p>
        </w:tc>
        <w:tc>
          <w:tcPr>
            <w:tcW w:type="dxa" w:w="2196"/>
          </w:tcPr>
          <w:p>
            <w:r>
              <w:rPr>
                <w:b/>
              </w:rPr>
              <w:t>Zigbee-like (Selected)</w:t>
            </w:r>
          </w:p>
        </w:tc>
        <w:tc>
          <w:tcPr>
            <w:tcW w:type="dxa" w:w="2196"/>
          </w:tcPr>
          <w:p>
            <w:r>
              <w:rPr>
                <w:b/>
              </w:rPr>
              <w:t>Wi-Fi (IEEE 802.11)</w:t>
            </w:r>
          </w:p>
        </w:tc>
        <w:tc>
          <w:tcPr>
            <w:tcW w:type="dxa" w:w="2196"/>
          </w:tcPr>
          <w:p>
            <w:r>
              <w:rPr>
                <w:b/>
              </w:rPr>
              <w:t>LoRaWAN (LoRa Alliance)</w:t>
            </w:r>
          </w:p>
        </w:tc>
      </w:tr>
      <w:tr>
        <w:tc>
          <w:tcPr>
            <w:tcW w:type="dxa" w:w="2196"/>
          </w:tcPr>
          <w:p>
            <w:r>
              <w:t>Frequency Band</w:t>
            </w:r>
          </w:p>
        </w:tc>
        <w:tc>
          <w:tcPr>
            <w:tcW w:type="dxa" w:w="2196"/>
          </w:tcPr>
          <w:p>
            <w:r>
              <w:t>2.4 GHz ISM Band</w:t>
            </w:r>
          </w:p>
        </w:tc>
        <w:tc>
          <w:tcPr>
            <w:tcW w:type="dxa" w:w="2196"/>
          </w:tcPr>
          <w:p>
            <w:r>
              <w:t>2.4 / 5 / 6 GHz</w:t>
            </w:r>
          </w:p>
        </w:tc>
        <w:tc>
          <w:tcPr>
            <w:tcW w:type="dxa" w:w="2196"/>
          </w:tcPr>
          <w:p>
            <w:r>
              <w:t>Sub-GHz (868/915 MHz)</w:t>
            </w:r>
          </w:p>
        </w:tc>
      </w:tr>
      <w:tr>
        <w:tc>
          <w:tcPr>
            <w:tcW w:type="dxa" w:w="2196"/>
          </w:tcPr>
          <w:p>
            <w:r>
              <w:t>Indoor Range</w:t>
            </w:r>
          </w:p>
        </w:tc>
        <w:tc>
          <w:tcPr>
            <w:tcW w:type="dxa" w:w="2196"/>
          </w:tcPr>
          <w:p>
            <w:r>
              <w:t>10 - 100 meters</w:t>
            </w:r>
          </w:p>
        </w:tc>
        <w:tc>
          <w:tcPr>
            <w:tcW w:type="dxa" w:w="2196"/>
          </w:tcPr>
          <w:p>
            <w:r>
              <w:t>30 - 50 meters</w:t>
            </w:r>
          </w:p>
        </w:tc>
        <w:tc>
          <w:tcPr>
            <w:tcW w:type="dxa" w:w="2196"/>
          </w:tcPr>
          <w:p>
            <w:r>
              <w:t>1 - 5 kilometers</w:t>
            </w:r>
          </w:p>
        </w:tc>
      </w:tr>
      <w:tr>
        <w:tc>
          <w:tcPr>
            <w:tcW w:type="dxa" w:w="2196"/>
          </w:tcPr>
          <w:p>
            <w:r>
              <w:t>Power Profile</w:t>
            </w:r>
          </w:p>
        </w:tc>
        <w:tc>
          <w:tcPr>
            <w:tcW w:type="dxa" w:w="2196"/>
          </w:tcPr>
          <w:p>
            <w:r>
              <w:t>Extremely Low ✓</w:t>
            </w:r>
          </w:p>
        </w:tc>
        <w:tc>
          <w:tcPr>
            <w:tcW w:type="dxa" w:w="2196"/>
          </w:tcPr>
          <w:p>
            <w:r>
              <w:t>High (Not Battery)</w:t>
            </w:r>
          </w:p>
        </w:tc>
        <w:tc>
          <w:tcPr>
            <w:tcW w:type="dxa" w:w="2196"/>
          </w:tcPr>
          <w:p>
            <w:r>
              <w:t>Very Low</w:t>
            </w:r>
          </w:p>
        </w:tc>
      </w:tr>
      <w:tr>
        <w:tc>
          <w:tcPr>
            <w:tcW w:type="dxa" w:w="2196"/>
          </w:tcPr>
          <w:p>
            <w:r>
              <w:t>Data Rate Limit</w:t>
            </w:r>
          </w:p>
        </w:tc>
        <w:tc>
          <w:tcPr>
            <w:tcW w:type="dxa" w:w="2196"/>
          </w:tcPr>
          <w:p>
            <w:r>
              <w:t>250 kbps</w:t>
            </w:r>
          </w:p>
        </w:tc>
        <w:tc>
          <w:tcPr>
            <w:tcW w:type="dxa" w:w="2196"/>
          </w:tcPr>
          <w:p>
            <w:r>
              <w:t>Up to 10+ Gbps</w:t>
            </w:r>
          </w:p>
        </w:tc>
        <w:tc>
          <w:tcPr>
            <w:tcW w:type="dxa" w:w="2196"/>
          </w:tcPr>
          <w:p>
            <w:r>
              <w:t>Under 50 kbps</w:t>
            </w:r>
          </w:p>
        </w:tc>
      </w:tr>
      <w:tr>
        <w:tc>
          <w:tcPr>
            <w:tcW w:type="dxa" w:w="2196"/>
          </w:tcPr>
          <w:p>
            <w:r>
              <w:t>Typical Topology</w:t>
            </w:r>
          </w:p>
        </w:tc>
        <w:tc>
          <w:tcPr>
            <w:tcW w:type="dxa" w:w="2196"/>
          </w:tcPr>
          <w:p>
            <w:r>
              <w:t>Mesh / Star-Mesh ✓</w:t>
            </w:r>
          </w:p>
        </w:tc>
        <w:tc>
          <w:tcPr>
            <w:tcW w:type="dxa" w:w="2196"/>
          </w:tcPr>
          <w:p>
            <w:r>
              <w:t>Star (Access Point)</w:t>
            </w:r>
          </w:p>
        </w:tc>
        <w:tc>
          <w:tcPr>
            <w:tcW w:type="dxa" w:w="2196"/>
          </w:tcPr>
          <w:p>
            <w:r>
              <w:t>Star-of-Stars (Gateway)</w:t>
            </w:r>
          </w:p>
        </w:tc>
      </w:tr>
      <w:tr>
        <w:tc>
          <w:tcPr>
            <w:tcW w:type="dxa" w:w="2196"/>
          </w:tcPr>
          <w:p>
            <w:r>
              <w:t>Suitability</w:t>
            </w:r>
          </w:p>
        </w:tc>
        <w:tc>
          <w:tcPr>
            <w:tcW w:type="dxa" w:w="2196"/>
          </w:tcPr>
          <w:p>
            <w:r>
              <w:t>High (Optimal) ✓</w:t>
            </w:r>
          </w:p>
        </w:tc>
        <w:tc>
          <w:tcPr>
            <w:tcW w:type="dxa" w:w="2196"/>
          </w:tcPr>
          <w:p>
            <w:r>
              <w:t>Medium (Power-heavy)</w:t>
            </w:r>
          </w:p>
        </w:tc>
        <w:tc>
          <w:tcPr>
            <w:tcW w:type="dxa" w:w="2196"/>
          </w:tcPr>
          <w:p>
            <w:r>
              <w:t>Low (Duty Cycle Limits)</w:t>
            </w:r>
          </w:p>
        </w:tc>
      </w:tr>
    </w:tbl>
    <w:p/>
    <w:p>
      <w:pPr>
        <w:pStyle w:val="Heading1"/>
      </w:pPr>
      <w:r>
        <w:rPr>
          <w:color w:val="1F4588"/>
        </w:rPr>
        <w:t>4. MQTT Topic Design and Payload Format</w:t>
      </w:r>
    </w:p>
    <w:p>
      <w:r>
        <w:t>Message Queue Telemetry Transport (MQTT) is selected as the application layer messaging protocol. Unlike HTTP, which utilizes a request-response architecture requiring high HTTP header overhead and TCP connection creation/teardown costs, MQTT runs on a lightweight publish-subscribe model. This makes it exceptionally suited for constrained devices. A centralized MQTT broker manages the routing of messages, allowing clients (devices) to publish telemetry to specific topics, and other clients (such as the subscriber or Node-RED) to receive them asynchronously.</w:t>
        <w:br/>
        <w:br/>
        <w:t>To organize telemetry logically across the virtual campus, a structured, hierarchical topic design is implemented. This hierarchy allows wildcards (e.g., '+') for selective subscriptions, enabling the subscriber to capture data from all buildings, rooms, and devices through a single topic pattern:</w:t>
      </w:r>
    </w:p>
    <w:p>
      <w:r>
        <w:t>Topic hierarchy:</w:t>
      </w:r>
    </w:p>
    <w:p>
      <w:pPr>
        <w:pStyle w:val="NoSpacing"/>
        <w:shd w:val="clear" w:color="auto" w:fill="F2F2F2"/>
      </w:pPr>
      <w:r>
        <w:rPr>
          <w:rFonts w:ascii="Courier New" w:hAnsi="Courier New"/>
          <w:color w:val="202020"/>
          <w:sz w:val="18"/>
        </w:rPr>
        <w:t>campus/{building}/{room}/{deviceId}/telemetry</w:t>
      </w:r>
    </w:p>
    <w:p/>
    <w:p>
      <w:r>
        <w:t>Example:</w:t>
      </w:r>
    </w:p>
    <w:p>
      <w:pPr>
        <w:pStyle w:val="NoSpacing"/>
        <w:shd w:val="clear" w:color="auto" w:fill="F2F2F2"/>
      </w:pPr>
      <w:r>
        <w:rPr>
          <w:rFonts w:ascii="Courier New" w:hAnsi="Courier New"/>
          <w:color w:val="202020"/>
          <w:sz w:val="18"/>
        </w:rPr>
        <w:t>campus/floor_1/hall_1_1/hall_1_1/telemetry</w:t>
      </w:r>
    </w:p>
    <w:p/>
    <w:p>
      <w:r>
        <w:t>Example JSON payload:</w:t>
      </w:r>
    </w:p>
    <w:p>
      <w:pPr>
        <w:pStyle w:val="NoSpacing"/>
        <w:shd w:val="clear" w:color="auto" w:fill="F2F2F2"/>
      </w:pPr>
      <w:r>
        <w:rPr>
          <w:rFonts w:ascii="Courier New" w:hAnsi="Courier New"/>
          <w:color w:val="202020"/>
          <w:sz w:val="18"/>
        </w:rPr>
        <w:t>{</w:t>
        <w:br/>
        <w:t xml:space="preserve">  "deviceId": "hall_1_1",</w:t>
        <w:br/>
        <w:t xml:space="preserve">  "label": "Hall 1.1",</w:t>
        <w:br/>
        <w:t xml:space="preserve">  "building": "floor_1",</w:t>
        <w:br/>
        <w:t xml:space="preserve">  "room": "hall_1_1",</w:t>
        <w:br/>
        <w:t xml:space="preserve">  "timestamp": "2026-07-07T09:00:00+00:00",</w:t>
        <w:br/>
        <w:t xml:space="preserve">  "temperature": 26.4,</w:t>
        <w:br/>
        <w:t xml:space="preserve">  "humidity": 58.2,</w:t>
        <w:br/>
        <w:t xml:space="preserve">  "occupancy": 22,</w:t>
        <w:br/>
        <w:t xml:space="preserve">  "light_level": 70.5,</w:t>
        <w:br/>
        <w:t xml:space="preserve">  "air_quality": 67.3,</w:t>
        <w:br/>
        <w:t xml:space="preserve">  "battery_level": 94.8,</w:t>
        <w:br/>
        <w:t xml:space="preserve">  "status": "OK",</w:t>
        <w:br/>
        <w:t xml:space="preserve">  "wireless": {</w:t>
        <w:br/>
        <w:t xml:space="preserve">    "model": "IEEE 802.15.4 / Zigbee-like",</w:t>
        <w:br/>
        <w:t xml:space="preserve">    "packet_loss_rate": 0.05,</w:t>
        <w:br/>
        <w:t xml:space="preserve">    "random_delay_ms": 180,</w:t>
        <w:br/>
        <w:t xml:space="preserve">    "link_quality": 88,</w:t>
        <w:br/>
        <w:t xml:space="preserve">    "rssi": -63,</w:t>
        <w:br/>
        <w:t xml:space="preserve">    "estimated_energy_consumption_mwh": 0.036</w:t>
        <w:br/>
        <w:t xml:space="preserve">  }</w:t>
        <w:br/>
        <w:t>}</w:t>
      </w:r>
    </w:p>
    <w:p/>
    <w:p>
      <w:pPr>
        <w:pStyle w:val="Heading1"/>
      </w:pPr>
      <w:r>
        <w:rPr>
          <w:color w:val="1F4588"/>
        </w:rPr>
        <w:t>5. Processing Logic and Rules</w:t>
      </w:r>
    </w:p>
    <w:p>
      <w:r>
        <w:t>The edge processing layer, implemented in processing/subscriber.py, is responsible for transforming raw sensor readings into actionable intelligence. Rather than forwarding raw data directly to storage or visualization, the subscriber performs localized validation, parses payload metadata, and computes secondary derived variables. This reduces downstream server loads and provides immediate feedback in the form of alerts.</w:t>
        <w:br/>
        <w:br/>
        <w:t>Two main derived variables are computed:</w:t>
        <w:br/>
        <w:t>1. Comfort Index: Calculated using a simplified Humidex approximation: Temperature + (Humidity / 100 * 5). This index gives a more accurate indicator of thermal comfort than temperature alone.</w:t>
        <w:br/>
        <w:t>2. Air Quality Status: Classified dynamically based on Indoor Air Quality (IAQ) thresholds where readings &lt;= 80 represent 'GOOD', &lt;= 120 represent 'MODERATE', and &gt; 120 trigger a 'POOR' state, allowing facility managers to trigger ventilation systems.</w:t>
      </w:r>
    </w:p>
    <w:p>
      <w:pPr>
        <w:pStyle w:val="Heading2"/>
      </w:pPr>
      <w:r>
        <w:rPr>
          <w:color w:val="2E74B5"/>
        </w:rPr>
        <w:t>Derived Values</w:t>
      </w:r>
    </w:p>
    <w:tbl>
      <w:tblPr>
        <w:tblStyle w:val="LightList-Accent1"/>
        <w:tblW w:type="auto" w:w="0"/>
        <w:tblLook w:firstColumn="1" w:firstRow="1" w:lastColumn="0" w:lastRow="0" w:noHBand="0" w:noVBand="1" w:val="04A0"/>
      </w:tblPr>
      <w:tblGrid>
        <w:gridCol w:w="4392"/>
        <w:gridCol w:w="4392"/>
      </w:tblGrid>
      <w:tr>
        <w:tc>
          <w:tcPr>
            <w:tcW w:type="dxa" w:w="4392"/>
          </w:tcPr>
          <w:p>
            <w:r>
              <w:rPr>
                <w:b/>
              </w:rPr>
              <w:t>Derived Value</w:t>
            </w:r>
          </w:p>
        </w:tc>
        <w:tc>
          <w:tcPr>
            <w:tcW w:type="dxa" w:w="4392"/>
          </w:tcPr>
          <w:p>
            <w:r>
              <w:rPr>
                <w:b/>
              </w:rPr>
              <w:t>Mathematical/Logic Description</w:t>
            </w:r>
          </w:p>
        </w:tc>
      </w:tr>
      <w:tr>
        <w:tc>
          <w:tcPr>
            <w:tcW w:type="dxa" w:w="4392"/>
          </w:tcPr>
          <w:p>
            <w:r>
              <w:t>comfort_index</w:t>
            </w:r>
          </w:p>
        </w:tc>
        <w:tc>
          <w:tcPr>
            <w:tcW w:type="dxa" w:w="4392"/>
          </w:tcPr>
          <w:p>
            <w:r>
              <w:t>Temperature + (Humidity / 100 × 5)</w:t>
            </w:r>
          </w:p>
        </w:tc>
      </w:tr>
      <w:tr>
        <w:tc>
          <w:tcPr>
            <w:tcW w:type="dxa" w:w="4392"/>
          </w:tcPr>
          <w:p>
            <w:r>
              <w:t>occupancy_status</w:t>
            </w:r>
          </w:p>
        </w:tc>
        <w:tc>
          <w:tcPr>
            <w:tcW w:type="dxa" w:w="4392"/>
          </w:tcPr>
          <w:p>
            <w:r>
              <w:t>OCCUPIED if Occupancy &gt; 0, otherwise EMPTY</w:t>
            </w:r>
          </w:p>
        </w:tc>
      </w:tr>
      <w:tr>
        <w:tc>
          <w:tcPr>
            <w:tcW w:type="dxa" w:w="4392"/>
          </w:tcPr>
          <w:p>
            <w:r>
              <w:t>high_temp_flag</w:t>
            </w:r>
          </w:p>
        </w:tc>
        <w:tc>
          <w:tcPr>
            <w:tcW w:type="dxa" w:w="4392"/>
          </w:tcPr>
          <w:p>
            <w:r>
              <w:t>True when Temperature &gt; 35, otherwise False</w:t>
            </w:r>
          </w:p>
        </w:tc>
      </w:tr>
      <w:tr>
        <w:tc>
          <w:tcPr>
            <w:tcW w:type="dxa" w:w="4392"/>
          </w:tcPr>
          <w:p>
            <w:r>
              <w:t>air_quality_status</w:t>
            </w:r>
          </w:p>
        </w:tc>
        <w:tc>
          <w:tcPr>
            <w:tcW w:type="dxa" w:w="4392"/>
          </w:tcPr>
          <w:p>
            <w:r>
              <w:t>GOOD (&lt;=80), MODERATE (81-120), POOR (&gt;120)</w:t>
            </w:r>
          </w:p>
        </w:tc>
      </w:tr>
    </w:tbl>
    <w:p/>
    <w:p>
      <w:pPr>
        <w:pStyle w:val="Heading2"/>
      </w:pPr>
      <w:r>
        <w:rPr>
          <w:color w:val="2E74B5"/>
        </w:rPr>
        <w:t>Alert Rules</w:t>
      </w:r>
    </w:p>
    <w:tbl>
      <w:tblPr>
        <w:tblStyle w:val="LightList-Accent1"/>
        <w:tblW w:type="auto" w:w="0"/>
        <w:tblLook w:firstColumn="1" w:firstRow="1" w:lastColumn="0" w:lastRow="0" w:noHBand="0" w:noVBand="1" w:val="04A0"/>
      </w:tblPr>
      <w:tblGrid>
        <w:gridCol w:w="4392"/>
        <w:gridCol w:w="4392"/>
      </w:tblGrid>
      <w:tr>
        <w:tc>
          <w:tcPr>
            <w:tcW w:type="dxa" w:w="4392"/>
          </w:tcPr>
          <w:p>
            <w:r>
              <w:rPr>
                <w:b/>
              </w:rPr>
              <w:t>Alert</w:t>
            </w:r>
          </w:p>
        </w:tc>
        <w:tc>
          <w:tcPr>
            <w:tcW w:type="dxa" w:w="4392"/>
          </w:tcPr>
          <w:p>
            <w:r>
              <w:rPr>
                <w:b/>
              </w:rPr>
              <w:t>Condition</w:t>
            </w:r>
          </w:p>
        </w:tc>
      </w:tr>
      <w:tr>
        <w:tc>
          <w:tcPr>
            <w:tcW w:type="dxa" w:w="4392"/>
          </w:tcPr>
          <w:p>
            <w:r>
              <w:t>High temperature</w:t>
            </w:r>
          </w:p>
        </w:tc>
        <w:tc>
          <w:tcPr>
            <w:tcW w:type="dxa" w:w="4392"/>
          </w:tcPr>
          <w:p>
            <w:r>
              <w:t>temperature &gt; 35</w:t>
            </w:r>
          </w:p>
        </w:tc>
      </w:tr>
      <w:tr>
        <w:tc>
          <w:tcPr>
            <w:tcW w:type="dxa" w:w="4392"/>
          </w:tcPr>
          <w:p>
            <w:r>
              <w:t>Empty room with lights on</w:t>
            </w:r>
          </w:p>
        </w:tc>
        <w:tc>
          <w:tcPr>
            <w:tcW w:type="dxa" w:w="4392"/>
          </w:tcPr>
          <w:p>
            <w:r>
              <w:t>occupancy = 0 AND light_level &gt; 60</w:t>
            </w:r>
          </w:p>
        </w:tc>
      </w:tr>
      <w:tr>
        <w:tc>
          <w:tcPr>
            <w:tcW w:type="dxa" w:w="4392"/>
          </w:tcPr>
          <w:p>
            <w:r>
              <w:t>Poor air quality</w:t>
            </w:r>
          </w:p>
        </w:tc>
        <w:tc>
          <w:tcPr>
            <w:tcW w:type="dxa" w:w="4392"/>
          </w:tcPr>
          <w:p>
            <w:r>
              <w:t>air_quality &gt; 120</w:t>
            </w:r>
          </w:p>
        </w:tc>
      </w:tr>
      <w:tr>
        <w:tc>
          <w:tcPr>
            <w:tcW w:type="dxa" w:w="4392"/>
          </w:tcPr>
          <w:p>
            <w:r>
              <w:t>Abnormal humidity</w:t>
            </w:r>
          </w:p>
        </w:tc>
        <w:tc>
          <w:tcPr>
            <w:tcW w:type="dxa" w:w="4392"/>
          </w:tcPr>
          <w:p>
            <w:r>
              <w:t>humidity &gt; 80</w:t>
            </w:r>
          </w:p>
        </w:tc>
      </w:tr>
      <w:tr>
        <w:tc>
          <w:tcPr>
            <w:tcW w:type="dxa" w:w="4392"/>
          </w:tcPr>
          <w:p>
            <w:r>
              <w:t>Low battery</w:t>
            </w:r>
          </w:p>
        </w:tc>
        <w:tc>
          <w:tcPr>
            <w:tcW w:type="dxa" w:w="4392"/>
          </w:tcPr>
          <w:p>
            <w:r>
              <w:t>battery_level &lt; 20</w:t>
            </w:r>
          </w:p>
        </w:tc>
      </w:tr>
    </w:tbl>
    <w:p/>
    <w:p>
      <w:pPr>
        <w:pStyle w:val="Heading1"/>
      </w:pPr>
      <w:r>
        <w:rPr>
          <w:color w:val="1F4588"/>
        </w:rPr>
        <w:t>6. Dashboard Design</w:t>
      </w:r>
    </w:p>
    <w:p>
      <w:r>
        <w:t>The Node-RED Dashboard (dashboard/node_red_flow.json) contains:</w:t>
      </w:r>
    </w:p>
    <w:p>
      <w:pPr>
        <w:pStyle w:val="ListBullet"/>
      </w:pPr>
      <w:r>
        <w:t>Temperature gauge (live reading)</w:t>
      </w:r>
    </w:p>
    <w:p>
      <w:pPr>
        <w:pStyle w:val="ListBullet"/>
      </w:pPr>
      <w:r>
        <w:t>Humidity gauge (live reading)</w:t>
      </w:r>
    </w:p>
    <w:p>
      <w:pPr>
        <w:pStyle w:val="ListBullet"/>
      </w:pPr>
      <w:r>
        <w:t>Occupancy gauge (live reading)</w:t>
      </w:r>
    </w:p>
    <w:p>
      <w:pPr>
        <w:pStyle w:val="ListBullet"/>
      </w:pPr>
      <w:r>
        <w:t>Alert text widget (latest active alert per device)</w:t>
      </w:r>
    </w:p>
    <w:p>
      <w:pPr>
        <w:pStyle w:val="ListBullet"/>
      </w:pPr>
      <w:r>
        <w:t>Temperature line chart (historical trend for all devices)</w:t>
      </w:r>
    </w:p>
    <w:p>
      <w:r>
        <w:br/>
        <w:t>To import: open Node-RED → Menu → Import → paste node_red_flow.json content → Deploy.</w:t>
        <w:br/>
        <w:t>Dashboard URL: http://localhost:1880/ui</w:t>
      </w:r>
    </w:p>
    <w:p>
      <w:pPr>
        <w:pStyle w:val="Heading2"/>
      </w:pPr>
      <w:r>
        <w:rPr>
          <w:color w:val="2E74B5"/>
        </w:rPr>
        <w:t>Dashboard Visualization</w:t>
      </w:r>
    </w:p>
    <w:p>
      <w:pPr>
        <w:jc w:val="center"/>
      </w:pPr>
      <w:r>
        <w:drawing>
          <wp:inline xmlns:a="http://schemas.openxmlformats.org/drawingml/2006/main" xmlns:pic="http://schemas.openxmlformats.org/drawingml/2006/picture">
            <wp:extent cx="5029200" cy="2896628"/>
            <wp:docPr id="1" name="Picture 1"/>
            <wp:cNvGraphicFramePr>
              <a:graphicFrameLocks noChangeAspect="1"/>
            </wp:cNvGraphicFramePr>
            <a:graphic>
              <a:graphicData uri="http://schemas.openxmlformats.org/drawingml/2006/picture">
                <pic:pic>
                  <pic:nvPicPr>
                    <pic:cNvPr id="0" name="dashboard_live.png"/>
                    <pic:cNvPicPr/>
                  </pic:nvPicPr>
                  <pic:blipFill>
                    <a:blip r:embed="rId9"/>
                    <a:stretch>
                      <a:fillRect/>
                    </a:stretch>
                  </pic:blipFill>
                  <pic:spPr>
                    <a:xfrm>
                      <a:off x="0" y="0"/>
                      <a:ext cx="5029200" cy="2896628"/>
                    </a:xfrm>
                    <a:prstGeom prst="rect"/>
                  </pic:spPr>
                </pic:pic>
              </a:graphicData>
            </a:graphic>
          </wp:inline>
        </w:drawing>
      </w:r>
    </w:p>
    <w:p>
      <w:pPr>
        <w:jc w:val="center"/>
      </w:pPr>
      <w:r>
        <w:rPr>
          <w:i/>
        </w:rPr>
        <w:t>Figure 1: Smart Campus Node-RED Dashboard Live Telemetry</w:t>
      </w:r>
    </w:p>
    <w:p/>
    <w:p>
      <w:pPr>
        <w:pStyle w:val="Heading1"/>
      </w:pPr>
      <w:r>
        <w:rPr>
          <w:color w:val="1F4588"/>
        </w:rPr>
        <w:t>7. Security and Reliability</w:t>
      </w:r>
    </w:p>
    <w:p>
      <w:r>
        <w:t>IoT deployments face a wide range of cyber security threat vectors due to the distributed nature of sensors and the use of shared communication mediums. Common vulnerabilities include eavesdropping (sniffing telemetry data), message spoofing (publishing falsified sensor metrics), and Denial of Service (DoS) attacks targeting the broker. To address these threats in an academic context, we implement five distinct security controls:</w:t>
        <w:br/>
        <w:br/>
        <w:t>1. Input Validation: The subscriber client checks the structure and data types of every JSON message. Any packet lacking mandatory fields or containing values outside physical bounds (e.g., negative occupancy or humidity &gt; 100) is immediately dropped to prevent downstream database pollution.</w:t>
        <w:br/>
        <w:t>2. Topic Naming Policy: The subscriber only listens to and accepts messages publishing on the strict hierarchical format (campus/{building}/{room}/{deviceId}/telemetry). Any malicious attempt to write to system-level or administrative topics is ignored.</w:t>
        <w:br/>
        <w:t>3. Log Sanitization: Before printing telemetry metrics to the console or logs, all strings are sanitized to strip non-alphanumeric characters, mitigating the risk of Log Injection or Remote Code Execution (RCE) via terminal escape sequences.</w:t>
        <w:br/>
        <w:t>4. Configuration Isolation: Sensitive MQTT broker credentials (username and password) are isolated inside a dedicated config.json file rather than hardcoded in the script, facilitating transition to secured TLS-enabled private brokers.</w:t>
        <w:br/>
        <w:t>5. Strict Topic Isolation: By specifying the full device ID in the publisher topic, the architecture prevents a malfunctioning or compromised device from overwriting data belonging to other devices.</w:t>
        <w:br/>
      </w:r>
    </w:p>
    <w:p>
      <w:pPr>
        <w:pStyle w:val="Heading2"/>
      </w:pPr>
      <w:r>
        <w:rPr>
          <w:color w:val="2E74B5"/>
        </w:rPr>
        <w:t>Reliability Features</w:t>
      </w:r>
    </w:p>
    <w:p>
      <w:r>
        <w:t>To evaluate how the network handles real-world channel impairments, the platform simulates several low-power wireless reliability scenarios:</w:t>
        <w:br/>
        <w:br/>
        <w:t>• Packet Loss: Models a Rayleigh fading channel or path blockage by randomly dropping 5% of published telemetry packets. This tests whether the subscriber and dashboard can maintain consistent states without crashing.</w:t>
        <w:br/>
        <w:t>• Propagation and Queuing Latency: Injects a variable delay (50 to 350 ms) before publishing, simulating network congestion and CSMA/CA backoff periods typical in dense Zigbee networks.</w:t>
        <w:br/>
        <w:t>• Energy and Battery Depletion: Simulates battery consumption per transmission. When a device's battery level drops below 20%, it changes its status to 'LOW_BATTERY', demonstrating predictive maintenance notifications.</w:t>
        <w:br/>
        <w:t>• Network Outage and Disconnection: The subscriber includes dedicated on_disconnect callback listeners to log and report broker offline events immediately, ensuring operators are alerted of network failures.</w:t>
      </w:r>
    </w:p>
    <w:p>
      <w:pPr>
        <w:pStyle w:val="Heading1"/>
      </w:pPr>
      <w:r>
        <w:rPr>
          <w:color w:val="1F4588"/>
        </w:rPr>
        <w:t>8. Testing and Results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Test Case</w:t>
            </w:r>
          </w:p>
        </w:tc>
        <w:tc>
          <w:tcPr>
            <w:tcW w:type="dxa" w:w="2196"/>
          </w:tcPr>
          <w:p>
            <w:r>
              <w:rPr>
                <w:b/>
              </w:rPr>
              <w:t>Description</w:t>
            </w:r>
          </w:p>
        </w:tc>
        <w:tc>
          <w:tcPr>
            <w:tcW w:type="dxa" w:w="2196"/>
          </w:tcPr>
          <w:p>
            <w:r>
              <w:rPr>
                <w:b/>
              </w:rPr>
              <w:t>Expected Result</w:t>
            </w:r>
          </w:p>
        </w:tc>
        <w:tc>
          <w:tcPr>
            <w:tcW w:type="dxa" w:w="2196"/>
          </w:tcPr>
          <w:p>
            <w:r>
              <w:rPr>
                <w:b/>
              </w:rPr>
              <w:t>Status</w:t>
            </w:r>
          </w:p>
        </w:tc>
      </w:tr>
      <w:tr>
        <w:tc>
          <w:tcPr>
            <w:tcW w:type="dxa" w:w="2196"/>
          </w:tcPr>
          <w:p>
            <w:r>
              <w:t>TC-1: Normal Telemetry</w:t>
            </w:r>
          </w:p>
        </w:tc>
        <w:tc>
          <w:tcPr>
            <w:tcW w:type="dxa" w:w="2196"/>
          </w:tcPr>
          <w:p>
            <w:r>
              <w:t>Start simulator and subscriber</w:t>
            </w:r>
          </w:p>
        </w:tc>
        <w:tc>
          <w:tcPr>
            <w:tcW w:type="dxa" w:w="2196"/>
          </w:tcPr>
          <w:p>
            <w:r>
              <w:t>[DATA] lines printed with derived values</w:t>
            </w:r>
          </w:p>
        </w:tc>
        <w:tc>
          <w:tcPr>
            <w:tcW w:type="dxa" w:w="2196"/>
          </w:tcPr>
          <w:p>
            <w:r>
              <w:t>Pass</w:t>
            </w:r>
          </w:p>
        </w:tc>
      </w:tr>
      <w:tr>
        <w:tc>
          <w:tcPr>
            <w:tcW w:type="dxa" w:w="2196"/>
          </w:tcPr>
          <w:p>
            <w:r>
              <w:t>TC-2: Missing Field</w:t>
            </w:r>
          </w:p>
        </w:tc>
        <w:tc>
          <w:tcPr>
            <w:tcW w:type="dxa" w:w="2196"/>
          </w:tcPr>
          <w:p>
            <w:r>
              <w:t>Publish JSON with only partial fields</w:t>
            </w:r>
          </w:p>
        </w:tc>
        <w:tc>
          <w:tcPr>
            <w:tcW w:type="dxa" w:w="2196"/>
          </w:tcPr>
          <w:p>
            <w:r>
              <w:t>[VALIDATION] Rejected message</w:t>
            </w:r>
          </w:p>
        </w:tc>
        <w:tc>
          <w:tcPr>
            <w:tcW w:type="dxa" w:w="2196"/>
          </w:tcPr>
          <w:p>
            <w:r>
              <w:t>Pass</w:t>
            </w:r>
          </w:p>
        </w:tc>
      </w:tr>
      <w:tr>
        <w:tc>
          <w:tcPr>
            <w:tcW w:type="dxa" w:w="2196"/>
          </w:tcPr>
          <w:p>
            <w:r>
              <w:t>TC-3: Abnormal Temperature</w:t>
            </w:r>
          </w:p>
        </w:tc>
        <w:tc>
          <w:tcPr>
            <w:tcW w:type="dxa" w:w="2196"/>
          </w:tcPr>
          <w:p>
            <w:r>
              <w:t>Publish temp=38 for server_room</w:t>
            </w:r>
          </w:p>
        </w:tc>
        <w:tc>
          <w:tcPr>
            <w:tcW w:type="dxa" w:w="2196"/>
          </w:tcPr>
          <w:p>
            <w:r>
              <w:t>[ALERT] Server Room: High temperature</w:t>
            </w:r>
          </w:p>
        </w:tc>
        <w:tc>
          <w:tcPr>
            <w:tcW w:type="dxa" w:w="2196"/>
          </w:tcPr>
          <w:p>
            <w:r>
              <w:t>Pass</w:t>
            </w:r>
          </w:p>
        </w:tc>
      </w:tr>
      <w:tr>
        <w:tc>
          <w:tcPr>
            <w:tcW w:type="dxa" w:w="2196"/>
          </w:tcPr>
          <w:p>
            <w:r>
              <w:t>TC-4: Broker Disconnection</w:t>
            </w:r>
          </w:p>
        </w:tc>
        <w:tc>
          <w:tcPr>
            <w:tcW w:type="dxa" w:w="2196"/>
          </w:tcPr>
          <w:p>
            <w:r>
              <w:t>Change broker address to invalid host</w:t>
            </w:r>
          </w:p>
        </w:tc>
        <w:tc>
          <w:tcPr>
            <w:tcW w:type="dxa" w:w="2196"/>
          </w:tcPr>
          <w:p>
            <w:r>
              <w:t>Connection failure reported</w:t>
            </w:r>
          </w:p>
        </w:tc>
        <w:tc>
          <w:tcPr>
            <w:tcW w:type="dxa" w:w="2196"/>
          </w:tcPr>
          <w:p>
            <w:r>
              <w:t>Pass (manual)</w:t>
            </w:r>
          </w:p>
        </w:tc>
      </w:tr>
    </w:tbl>
    <w:p/>
    <w:p>
      <w:pPr>
        <w:pStyle w:val="Heading2"/>
      </w:pPr>
      <w:r>
        <w:rPr>
          <w:color w:val="2E74B5"/>
        </w:rPr>
        <w:t>Execution and Test Outputs</w:t>
      </w:r>
    </w:p>
    <w:p>
      <w:r>
        <w:t>Virtual Device Simulator Execution Output:</w:t>
      </w:r>
    </w:p>
    <w:p>
      <w:pPr>
        <w:jc w:val="center"/>
      </w:pPr>
      <w:r>
        <w:drawing>
          <wp:inline xmlns:a="http://schemas.openxmlformats.org/drawingml/2006/main" xmlns:pic="http://schemas.openxmlformats.org/drawingml/2006/picture">
            <wp:extent cx="5029200" cy="2967540"/>
            <wp:docPr id="2" name="Picture 2"/>
            <wp:cNvGraphicFramePr>
              <a:graphicFrameLocks noChangeAspect="1"/>
            </wp:cNvGraphicFramePr>
            <a:graphic>
              <a:graphicData uri="http://schemas.openxmlformats.org/drawingml/2006/picture">
                <pic:pic>
                  <pic:nvPicPr>
                    <pic:cNvPr id="0" name="simulator_run.png"/>
                    <pic:cNvPicPr/>
                  </pic:nvPicPr>
                  <pic:blipFill>
                    <a:blip r:embed="rId10"/>
                    <a:stretch>
                      <a:fillRect/>
                    </a:stretch>
                  </pic:blipFill>
                  <pic:spPr>
                    <a:xfrm>
                      <a:off x="0" y="0"/>
                      <a:ext cx="5029200" cy="2967540"/>
                    </a:xfrm>
                    <a:prstGeom prst="rect"/>
                  </pic:spPr>
                </pic:pic>
              </a:graphicData>
            </a:graphic>
          </wp:inline>
        </w:drawing>
      </w:r>
    </w:p>
    <w:p>
      <w:pPr>
        <w:jc w:val="center"/>
      </w:pPr>
      <w:r>
        <w:rPr>
          <w:i/>
        </w:rPr>
        <w:t>Figure 2: Python Virtual Device Simulator Console</w:t>
      </w:r>
    </w:p>
    <w:p/>
    <w:p>
      <w:r>
        <w:t>MQTT Subscriber and Analytics Processor Output:</w:t>
      </w:r>
    </w:p>
    <w:p>
      <w:pPr>
        <w:jc w:val="center"/>
      </w:pPr>
      <w:r>
        <w:drawing>
          <wp:inline xmlns:a="http://schemas.openxmlformats.org/drawingml/2006/main" xmlns:pic="http://schemas.openxmlformats.org/drawingml/2006/picture">
            <wp:extent cx="5029200" cy="3356899"/>
            <wp:docPr id="3" name="Picture 3"/>
            <wp:cNvGraphicFramePr>
              <a:graphicFrameLocks noChangeAspect="1"/>
            </wp:cNvGraphicFramePr>
            <a:graphic>
              <a:graphicData uri="http://schemas.openxmlformats.org/drawingml/2006/picture">
                <pic:pic>
                  <pic:nvPicPr>
                    <pic:cNvPr id="0" name="subscriber_run.png"/>
                    <pic:cNvPicPr/>
                  </pic:nvPicPr>
                  <pic:blipFill>
                    <a:blip r:embed="rId11"/>
                    <a:stretch>
                      <a:fillRect/>
                    </a:stretch>
                  </pic:blipFill>
                  <pic:spPr>
                    <a:xfrm>
                      <a:off x="0" y="0"/>
                      <a:ext cx="5029200" cy="3356899"/>
                    </a:xfrm>
                    <a:prstGeom prst="rect"/>
                  </pic:spPr>
                </pic:pic>
              </a:graphicData>
            </a:graphic>
          </wp:inline>
        </w:drawing>
      </w:r>
    </w:p>
    <w:p>
      <w:pPr>
        <w:jc w:val="center"/>
      </w:pPr>
      <w:r>
        <w:rPr>
          <w:i/>
        </w:rPr>
        <w:t>Figure 3: Python MQTT Subscriber &amp; Alerts Console</w:t>
      </w:r>
    </w:p>
    <w:p/>
    <w:p>
      <w:pPr>
        <w:pStyle w:val="Heading1"/>
      </w:pPr>
      <w:r>
        <w:rPr>
          <w:color w:val="1F4588"/>
        </w:rPr>
        <w:t>9. Challenges and Limitations</w:t>
      </w:r>
    </w:p>
    <w:p>
      <w:r>
        <w:t>The main challenge is balancing realism with simplicity. A real Zigbee network includes routing, interference, mesh topology, and device association. This project models only the most important educational aspects: packet loss, delay, RSSI, link quality, energy, and battery drain.</w:t>
        <w:br/>
        <w:br/>
        <w:t>Another limitation is the use of a public MQTT broker (HiveMQ). A production system would require a private broker with TLS, authentication, and access control.</w:t>
      </w:r>
    </w:p>
    <w:p>
      <w:pPr>
        <w:pStyle w:val="Heading1"/>
      </w:pPr>
      <w:r>
        <w:rPr>
          <w:color w:val="1F4588"/>
        </w:rPr>
        <w:t>10. Conclusion and Future Work</w:t>
      </w:r>
    </w:p>
    <w:p>
      <w:r>
        <w:t>This project demonstrates a complete IoT workflow without physical hardware. Python virtual devices simulate 7 campus locations. MQTT provides lightweight publish/subscribe communication. The subscriber validates data, computes analytics, and triggers alerts. Node-RED Dashboard provides live visualization.</w:t>
        <w:br/>
        <w:br/>
        <w:t>Future improvements:</w:t>
      </w:r>
    </w:p>
    <w:p>
      <w:pPr>
        <w:pStyle w:val="ListBullet"/>
      </w:pPr>
      <w:r>
        <w:t>Store telemetry in SQLite or InfluxDB for historical analysis.</w:t>
      </w:r>
    </w:p>
    <w:p>
      <w:pPr>
        <w:pStyle w:val="ListBullet"/>
      </w:pPr>
      <w:r>
        <w:t>Add TLS and authenticated MQTT clients.</w:t>
      </w:r>
    </w:p>
    <w:p>
      <w:pPr>
        <w:pStyle w:val="ListBullet"/>
      </w:pPr>
      <w:r>
        <w:t>Build a custom web dashboard with real-time charts.</w:t>
      </w:r>
    </w:p>
    <w:p>
      <w:pPr>
        <w:pStyle w:val="ListBullet"/>
      </w:pPr>
      <w:r>
        <w:t>Add device registration and role-based access control.</w:t>
      </w:r>
    </w:p>
    <w:p>
      <w:pPr>
        <w:pStyle w:val="ListBullet"/>
      </w:pPr>
      <w:r>
        <w:t>Implement predictive analytics for temperature and air quality.</w:t>
      </w:r>
    </w:p>
    <w:p>
      <w:pPr>
        <w:pStyle w:val="Heading1"/>
      </w:pPr>
      <w:r>
        <w:rPr>
          <w:color w:val="1F4588"/>
        </w:rPr>
        <w:t>11. References</w:t>
      </w:r>
    </w:p>
    <w:p>
      <w:pPr>
        <w:pStyle w:val="ListNumber"/>
      </w:pPr>
      <w:r>
        <w:t>MQTT Organization. MQTT Protocol Documentation. https://mqtt.org/</w:t>
      </w:r>
    </w:p>
    <w:p>
      <w:pPr>
        <w:pStyle w:val="ListNumber"/>
      </w:pPr>
      <w:r>
        <w:t>Eclipse Paho. Paho MQTT Python Client. https://eclipse.dev/paho/</w:t>
      </w:r>
    </w:p>
    <w:p>
      <w:pPr>
        <w:pStyle w:val="ListNumber"/>
      </w:pPr>
      <w:r>
        <w:t>Node-RED Documentation. https://nodered.org/docs/</w:t>
      </w:r>
    </w:p>
    <w:p>
      <w:pPr>
        <w:pStyle w:val="ListNumber"/>
      </w:pPr>
      <w:r>
        <w:t>HiveMQ Public MQTT Broker. https://www.hivemq.com/mqtt/public-mqtt-broker/</w:t>
      </w:r>
    </w:p>
    <w:p>
      <w:pPr>
        <w:pStyle w:val="ListNumber"/>
      </w:pPr>
      <w:r>
        <w:t>IEEE 802.15.4 Standard Overview. https://standards.ieee.org/ieee/802.15.4/11041/</w:t>
      </w:r>
    </w:p>
    <w:p>
      <w:pPr>
        <w:pStyle w:val="ListNumber"/>
      </w:pPr>
      <w:r>
        <w:t>Connectivity Standards Alliance Zigbee. https://csa-iot.org/all-solutions/zigbee/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