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160" w:rsidRDefault="008B3160" w:rsidP="00937876">
      <w:pPr>
        <w:ind w:right="1440"/>
        <w:jc w:val="center"/>
        <w:rPr>
          <w:b/>
        </w:rPr>
      </w:pPr>
    </w:p>
    <w:p w:rsidR="008B3160" w:rsidRPr="00921149" w:rsidRDefault="00AB3658" w:rsidP="00921149">
      <w:pPr>
        <w:ind w:right="1440" w:firstLine="720"/>
        <w:rPr>
          <w:b/>
          <w:sz w:val="28"/>
          <w:szCs w:val="28"/>
        </w:rPr>
      </w:pPr>
      <w:proofErr w:type="gramStart"/>
      <w:r w:rsidRPr="00921149">
        <w:rPr>
          <w:b/>
          <w:sz w:val="28"/>
          <w:szCs w:val="28"/>
        </w:rPr>
        <w:t>Title:-</w:t>
      </w:r>
      <w:proofErr w:type="gramEnd"/>
    </w:p>
    <w:p w:rsidR="0024671B" w:rsidRPr="00921149" w:rsidRDefault="00921149" w:rsidP="00921149">
      <w:pPr>
        <w:ind w:left="1440" w:right="720" w:firstLine="720"/>
        <w:rPr>
          <w:rFonts w:cstheme="minorHAnsi"/>
          <w:b/>
          <w:sz w:val="24"/>
          <w:szCs w:val="24"/>
        </w:rPr>
      </w:pPr>
      <w:r w:rsidRPr="00921149">
        <w:rPr>
          <w:rFonts w:cstheme="minorHAnsi"/>
          <w:sz w:val="24"/>
          <w:szCs w:val="24"/>
        </w:rPr>
        <w:t xml:space="preserve">Dynamic Trends: World Bank Insights on Economy </w:t>
      </w:r>
      <w:r w:rsidRPr="00921149">
        <w:rPr>
          <w:rFonts w:cstheme="minorHAnsi"/>
          <w:sz w:val="24"/>
          <w:szCs w:val="24"/>
        </w:rPr>
        <w:t xml:space="preserve">&amp; </w:t>
      </w:r>
      <w:r w:rsidRPr="00921149">
        <w:rPr>
          <w:rFonts w:cstheme="minorHAnsi"/>
          <w:sz w:val="24"/>
          <w:szCs w:val="24"/>
        </w:rPr>
        <w:t>Environment</w:t>
      </w:r>
    </w:p>
    <w:p w:rsidR="008B3160" w:rsidRDefault="00921149" w:rsidP="00921149">
      <w:pPr>
        <w:ind w:left="720" w:right="720"/>
        <w:jc w:val="center"/>
        <w:rPr>
          <w:b/>
        </w:rPr>
      </w:pPr>
      <w:r>
        <w:rPr>
          <w:b/>
        </w:rPr>
        <w:t>.</w:t>
      </w:r>
    </w:p>
    <w:p w:rsidR="0024671B" w:rsidRDefault="008B3160" w:rsidP="00921149">
      <w:pPr>
        <w:spacing w:line="360" w:lineRule="auto"/>
        <w:ind w:left="720" w:right="720"/>
        <w:rPr>
          <w:b/>
          <w:sz w:val="28"/>
          <w:szCs w:val="28"/>
        </w:rPr>
      </w:pPr>
      <w:r w:rsidRPr="008B3160">
        <w:rPr>
          <w:b/>
          <w:sz w:val="28"/>
          <w:szCs w:val="28"/>
        </w:rPr>
        <w:t xml:space="preserve">Student </w:t>
      </w:r>
      <w:proofErr w:type="gramStart"/>
      <w:r w:rsidRPr="008B3160">
        <w:rPr>
          <w:b/>
          <w:sz w:val="28"/>
          <w:szCs w:val="28"/>
        </w:rPr>
        <w:t>Name:</w:t>
      </w:r>
      <w:r w:rsidR="0024671B">
        <w:rPr>
          <w:b/>
          <w:sz w:val="28"/>
          <w:szCs w:val="28"/>
        </w:rPr>
        <w:t>-</w:t>
      </w:r>
      <w:proofErr w:type="gramEnd"/>
      <w:r w:rsidRPr="008B3160">
        <w:rPr>
          <w:b/>
          <w:sz w:val="28"/>
          <w:szCs w:val="28"/>
        </w:rPr>
        <w:t xml:space="preserve"> </w:t>
      </w:r>
      <w:r w:rsidRPr="008B3160">
        <w:rPr>
          <w:b/>
          <w:sz w:val="28"/>
          <w:szCs w:val="28"/>
        </w:rPr>
        <w:tab/>
      </w:r>
      <w:r w:rsidRPr="008B3160">
        <w:rPr>
          <w:b/>
          <w:sz w:val="28"/>
          <w:szCs w:val="28"/>
        </w:rPr>
        <w:tab/>
      </w:r>
    </w:p>
    <w:p w:rsidR="008B3160" w:rsidRPr="0024671B" w:rsidRDefault="008B3160" w:rsidP="00921149">
      <w:pPr>
        <w:spacing w:line="360" w:lineRule="auto"/>
        <w:ind w:left="1440" w:right="720" w:firstLine="720"/>
        <w:rPr>
          <w:sz w:val="24"/>
          <w:szCs w:val="24"/>
        </w:rPr>
      </w:pPr>
      <w:r w:rsidRPr="0024671B">
        <w:rPr>
          <w:sz w:val="24"/>
          <w:szCs w:val="24"/>
        </w:rPr>
        <w:t>Saba Israr</w:t>
      </w:r>
    </w:p>
    <w:p w:rsidR="0024671B" w:rsidRDefault="008B3160" w:rsidP="00921149">
      <w:pPr>
        <w:spacing w:line="360" w:lineRule="auto"/>
        <w:ind w:left="720" w:right="720"/>
        <w:rPr>
          <w:b/>
          <w:sz w:val="28"/>
          <w:szCs w:val="28"/>
        </w:rPr>
      </w:pPr>
      <w:r w:rsidRPr="008B3160">
        <w:rPr>
          <w:b/>
          <w:sz w:val="28"/>
          <w:szCs w:val="28"/>
        </w:rPr>
        <w:t xml:space="preserve">Student </w:t>
      </w:r>
      <w:proofErr w:type="gramStart"/>
      <w:r w:rsidRPr="008B3160">
        <w:rPr>
          <w:b/>
          <w:sz w:val="28"/>
          <w:szCs w:val="28"/>
        </w:rPr>
        <w:t>ID:</w:t>
      </w:r>
      <w:r w:rsidR="0024671B">
        <w:rPr>
          <w:b/>
          <w:sz w:val="28"/>
          <w:szCs w:val="28"/>
        </w:rPr>
        <w:t>-</w:t>
      </w:r>
      <w:proofErr w:type="gramEnd"/>
      <w:r w:rsidRPr="008B3160">
        <w:rPr>
          <w:b/>
          <w:sz w:val="28"/>
          <w:szCs w:val="28"/>
        </w:rPr>
        <w:tab/>
      </w:r>
      <w:r w:rsidRPr="008B3160">
        <w:rPr>
          <w:b/>
          <w:sz w:val="28"/>
          <w:szCs w:val="28"/>
        </w:rPr>
        <w:tab/>
      </w:r>
      <w:r>
        <w:rPr>
          <w:b/>
          <w:sz w:val="28"/>
          <w:szCs w:val="28"/>
        </w:rPr>
        <w:tab/>
      </w:r>
    </w:p>
    <w:p w:rsidR="008B3160" w:rsidRPr="0024671B" w:rsidRDefault="008B3160" w:rsidP="00921149">
      <w:pPr>
        <w:spacing w:line="360" w:lineRule="auto"/>
        <w:ind w:left="1440" w:right="720" w:firstLine="720"/>
        <w:rPr>
          <w:sz w:val="28"/>
          <w:szCs w:val="28"/>
        </w:rPr>
      </w:pPr>
      <w:r w:rsidRPr="0024671B">
        <w:rPr>
          <w:sz w:val="28"/>
          <w:szCs w:val="28"/>
        </w:rPr>
        <w:t>22092394</w:t>
      </w:r>
    </w:p>
    <w:p w:rsidR="0024671B" w:rsidRDefault="007D4D88" w:rsidP="00921149">
      <w:pPr>
        <w:spacing w:line="360" w:lineRule="auto"/>
        <w:ind w:left="720" w:right="720"/>
        <w:jc w:val="both"/>
        <w:rPr>
          <w:b/>
          <w:sz w:val="28"/>
          <w:szCs w:val="28"/>
        </w:rPr>
      </w:pPr>
      <w:proofErr w:type="gramStart"/>
      <w:r>
        <w:rPr>
          <w:b/>
          <w:sz w:val="28"/>
          <w:szCs w:val="28"/>
        </w:rPr>
        <w:t>Abstract:</w:t>
      </w:r>
      <w:r w:rsidR="0024671B">
        <w:rPr>
          <w:b/>
          <w:sz w:val="28"/>
          <w:szCs w:val="28"/>
        </w:rPr>
        <w:t>-</w:t>
      </w:r>
      <w:proofErr w:type="gramEnd"/>
    </w:p>
    <w:p w:rsidR="007D4D88" w:rsidRDefault="00AB3658" w:rsidP="00921149">
      <w:pPr>
        <w:spacing w:line="360" w:lineRule="auto"/>
        <w:ind w:left="1440" w:right="720" w:firstLine="720"/>
        <w:jc w:val="both"/>
        <w:rPr>
          <w:sz w:val="28"/>
          <w:szCs w:val="28"/>
        </w:rPr>
      </w:pPr>
      <w:r w:rsidRPr="0024671B">
        <w:rPr>
          <w:sz w:val="24"/>
          <w:szCs w:val="24"/>
        </w:rPr>
        <w:t>In order to provide insights into the economies and environments of different countries, this analysis looks at World Bank variables throughout time. Some countries' findings indicate a negative correlation between emissions and renewable energy use, while others show a positive association between urbanization and agricultural output development. Data correlations effectively highlight the relationships between progress markers and have consequences for well-rounded sustainability planning</w:t>
      </w:r>
      <w:r w:rsidRPr="0024671B">
        <w:rPr>
          <w:sz w:val="28"/>
          <w:szCs w:val="28"/>
        </w:rPr>
        <w:t>.</w:t>
      </w:r>
    </w:p>
    <w:p w:rsidR="0024671B" w:rsidRPr="00921149" w:rsidRDefault="0024671B" w:rsidP="00921149">
      <w:pPr>
        <w:spacing w:line="360" w:lineRule="auto"/>
        <w:ind w:right="720" w:firstLine="720"/>
        <w:jc w:val="both"/>
        <w:rPr>
          <w:b/>
          <w:sz w:val="28"/>
          <w:szCs w:val="28"/>
        </w:rPr>
      </w:pPr>
      <w:bookmarkStart w:id="0" w:name="_GoBack"/>
      <w:bookmarkEnd w:id="0"/>
      <w:proofErr w:type="spellStart"/>
      <w:r w:rsidRPr="00921149">
        <w:rPr>
          <w:b/>
          <w:sz w:val="28"/>
          <w:szCs w:val="28"/>
        </w:rPr>
        <w:t>Github</w:t>
      </w:r>
      <w:proofErr w:type="spellEnd"/>
      <w:r w:rsidRPr="00921149">
        <w:rPr>
          <w:b/>
          <w:sz w:val="28"/>
          <w:szCs w:val="28"/>
        </w:rPr>
        <w:t xml:space="preserve"> </w:t>
      </w:r>
      <w:proofErr w:type="gramStart"/>
      <w:r w:rsidRPr="00921149">
        <w:rPr>
          <w:b/>
          <w:sz w:val="28"/>
          <w:szCs w:val="28"/>
        </w:rPr>
        <w:t>Link</w:t>
      </w:r>
      <w:r w:rsidR="00921149">
        <w:rPr>
          <w:b/>
          <w:sz w:val="28"/>
          <w:szCs w:val="28"/>
        </w:rPr>
        <w:t>:-</w:t>
      </w:r>
      <w:proofErr w:type="gramEnd"/>
    </w:p>
    <w:p w:rsidR="008B3160" w:rsidRDefault="008B3160">
      <w:pPr>
        <w:rPr>
          <w:b/>
          <w:u w:val="single"/>
        </w:rPr>
      </w:pPr>
      <w:r>
        <w:rPr>
          <w:b/>
          <w:u w:val="single"/>
        </w:rPr>
        <w:br w:type="page"/>
      </w:r>
    </w:p>
    <w:p w:rsidR="00F90EF3" w:rsidRDefault="0006695D" w:rsidP="00937876">
      <w:pPr>
        <w:ind w:right="1440"/>
        <w:jc w:val="center"/>
        <w:rPr>
          <w:b/>
          <w:u w:val="single"/>
        </w:rPr>
      </w:pPr>
      <w:r>
        <w:rPr>
          <w:b/>
          <w:u w:val="single"/>
        </w:rPr>
        <w:lastRenderedPageBreak/>
        <w:t>D</w:t>
      </w:r>
      <w:r w:rsidR="00065D0C" w:rsidRPr="00065D0C">
        <w:rPr>
          <w:b/>
          <w:u w:val="single"/>
        </w:rPr>
        <w:t>ata analysis based on World Bank data</w:t>
      </w:r>
    </w:p>
    <w:p w:rsidR="00551ABD" w:rsidRDefault="00C82977" w:rsidP="00F90EF3">
      <w:pPr>
        <w:spacing w:after="0"/>
        <w:ind w:right="43"/>
        <w:jc w:val="both"/>
      </w:pPr>
      <w:r>
        <w:rPr>
          <w:b/>
          <w:u w:val="single"/>
        </w:rPr>
        <w:br w:type="textWrapping" w:clear="all"/>
      </w:r>
      <w:r w:rsidR="00937876" w:rsidRPr="00937876">
        <w:t>This analysis examines World Bank indicators over time for various countries to reveal economic and</w:t>
      </w:r>
      <w:r w:rsidR="00F90EF3">
        <w:t xml:space="preserve"> </w:t>
      </w:r>
      <w:r w:rsidR="00937876" w:rsidRPr="00937876">
        <w:t>environmental insights. Findings show urbanization and agricultural output growth in some nations while others demonstrate a negative relationship between renewable energy use and emissions. Ultimately data correlations spotlight interdependencies between progress markers with implications for balanced sustainability policymaking.</w:t>
      </w:r>
    </w:p>
    <w:p w:rsidR="00F90EF3" w:rsidRDefault="00F90EF3" w:rsidP="00937876">
      <w:pPr>
        <w:ind w:right="1440"/>
        <w:jc w:val="center"/>
      </w:pPr>
    </w:p>
    <w:tbl>
      <w:tblPr>
        <w:tblStyle w:val="TableGrid"/>
        <w:tblpPr w:leftFromText="180" w:rightFromText="180" w:vertAnchor="text" w:horzAnchor="margin" w:tblpY="12"/>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2"/>
        <w:gridCol w:w="5528"/>
      </w:tblGrid>
      <w:tr w:rsidR="00F15548" w:rsidTr="009A1917">
        <w:trPr>
          <w:trHeight w:val="3109"/>
        </w:trPr>
        <w:tc>
          <w:tcPr>
            <w:tcW w:w="5382" w:type="dxa"/>
          </w:tcPr>
          <w:p w:rsidR="00F15548" w:rsidRDefault="00AB3658" w:rsidP="00F15548">
            <w:pPr>
              <w:ind w:right="4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57.5pt">
                  <v:imagedata r:id="rId7" o:title="06"/>
                </v:shape>
              </w:pict>
            </w:r>
          </w:p>
        </w:tc>
        <w:tc>
          <w:tcPr>
            <w:tcW w:w="5528" w:type="dxa"/>
          </w:tcPr>
          <w:p w:rsidR="00F15548" w:rsidRDefault="00AB3658" w:rsidP="00F15548">
            <w:pPr>
              <w:ind w:right="48"/>
            </w:pPr>
            <w:r>
              <w:pict>
                <v:shape id="_x0000_i1026" type="#_x0000_t75" style="width:267pt;height:156pt">
                  <v:imagedata r:id="rId8" o:title="07"/>
                </v:shape>
              </w:pict>
            </w:r>
          </w:p>
        </w:tc>
      </w:tr>
      <w:tr w:rsidR="000D0620" w:rsidTr="009A1917">
        <w:tc>
          <w:tcPr>
            <w:tcW w:w="5382" w:type="dxa"/>
          </w:tcPr>
          <w:p w:rsidR="000D0620" w:rsidRDefault="00BD4DD0" w:rsidP="00000B0B">
            <w:pPr>
              <w:ind w:right="48"/>
              <w:jc w:val="both"/>
              <w:rPr>
                <w:noProof/>
              </w:rPr>
            </w:pPr>
            <w:r w:rsidRPr="00BD4DD0">
              <w:rPr>
                <w:noProof/>
              </w:rPr>
              <w:t>The bar plot of the urban population shows that Sweden and Costa Rica have seen considerable increases in urban population which shows that there have probably been significant migrations of people from rural to urban areas in these countries. Several causes, such as the growth of the industrial sector, more job opportunities in big cities, and improved infrastructure, can be attributed to the rise in the population of Sweden residing in urban districts. Likewise in Costa Rica, urbanization may be influenced and more people may choose to live in cities and towns by factors including infrastructural improvements, economic growth, and urbanization-related laws.</w:t>
            </w:r>
          </w:p>
        </w:tc>
        <w:tc>
          <w:tcPr>
            <w:tcW w:w="5528" w:type="dxa"/>
          </w:tcPr>
          <w:p w:rsidR="000D0620" w:rsidRPr="00F15548" w:rsidRDefault="00BD4DD0" w:rsidP="00A02875">
            <w:pPr>
              <w:ind w:right="48"/>
              <w:jc w:val="both"/>
            </w:pPr>
            <w:r w:rsidRPr="00BD4DD0">
              <w:t>Sweden has the highest cereal production in the world, as shown by the bar plot, which indicates a number of variables that explain the nation's impressive agricultural results. Sweden's high cereal yields are mainly due to the nation's perfect climate, easy access to water resources, efficient farming practices, and adoption of cutting-edge agricultural equipment. The country's commitment to using premium seeds, state-of-the-art equipment, and eco-friendly farming methods, together with other ecologically conscious farming practices, might lead to an even greater growth in agricultural output.</w:t>
            </w:r>
          </w:p>
        </w:tc>
      </w:tr>
      <w:tr w:rsidR="000D0620" w:rsidTr="009A1917">
        <w:trPr>
          <w:trHeight w:val="697"/>
        </w:trPr>
        <w:tc>
          <w:tcPr>
            <w:tcW w:w="5382" w:type="dxa"/>
          </w:tcPr>
          <w:p w:rsidR="000D0620" w:rsidRDefault="00AB3658" w:rsidP="00F15548">
            <w:pPr>
              <w:ind w:right="48"/>
            </w:pPr>
            <w:r>
              <w:pict>
                <v:shape id="_x0000_i1027" type="#_x0000_t75" style="width:251.5pt;height:165.5pt">
                  <v:imagedata r:id="rId9" o:title="04"/>
                </v:shape>
              </w:pict>
            </w:r>
          </w:p>
          <w:p w:rsidR="00E71D9B" w:rsidRDefault="00E71D9B" w:rsidP="00E71D9B">
            <w:pPr>
              <w:ind w:right="48"/>
              <w:jc w:val="both"/>
            </w:pPr>
            <w:r w:rsidRPr="00BD4DD0">
              <w:rPr>
                <w:noProof/>
              </w:rPr>
              <w:t xml:space="preserve">Several variables, such as the population, urban population, the usage of renewable energy sources, and greenhouse gas emissions, have positive correlations with GDP. This relationship means Lesotho's population, energy consumption, and urbanization increase as the country's economy grows.   a negative correlation between the utilization of renewable energy sources and emissions of greenhouse gases and CO2. which suggests </w:t>
            </w:r>
            <w:r w:rsidRPr="00BD4DD0">
              <w:rPr>
                <w:noProof/>
              </w:rPr>
              <w:lastRenderedPageBreak/>
              <w:t>that moving to more environmentally friendly, renewable energy sources may be a part of Lesotho's attempts to reduce carbon emissions.</w:t>
            </w:r>
          </w:p>
        </w:tc>
        <w:tc>
          <w:tcPr>
            <w:tcW w:w="5528" w:type="dxa"/>
          </w:tcPr>
          <w:tbl>
            <w:tblPr>
              <w:tblStyle w:val="TableGrid"/>
              <w:tblpPr w:leftFromText="180" w:rightFromText="180" w:vertAnchor="text" w:horzAnchor="margin" w:tblpY="-78"/>
              <w:tblOverlap w:val="never"/>
              <w:tblW w:w="5322" w:type="dxa"/>
              <w:tblLayout w:type="fixed"/>
              <w:tblLook w:val="04A0" w:firstRow="1" w:lastRow="0" w:firstColumn="1" w:lastColumn="0" w:noHBand="0" w:noVBand="1"/>
            </w:tblPr>
            <w:tblGrid>
              <w:gridCol w:w="1330"/>
              <w:gridCol w:w="1330"/>
              <w:gridCol w:w="1331"/>
              <w:gridCol w:w="1331"/>
            </w:tblGrid>
            <w:tr w:rsidR="004D4C9C" w:rsidRPr="00774152" w:rsidTr="00937876">
              <w:trPr>
                <w:trHeight w:val="124"/>
              </w:trPr>
              <w:tc>
                <w:tcPr>
                  <w:tcW w:w="1330" w:type="dxa"/>
                  <w:hideMark/>
                </w:tcPr>
                <w:p w:rsidR="004D4C9C" w:rsidRPr="00B31C23" w:rsidRDefault="004D4C9C" w:rsidP="004D4C9C">
                  <w:r w:rsidRPr="00B31C23">
                    <w:lastRenderedPageBreak/>
                    <w:t>Country</w:t>
                  </w:r>
                </w:p>
              </w:tc>
              <w:tc>
                <w:tcPr>
                  <w:tcW w:w="1330" w:type="dxa"/>
                  <w:hideMark/>
                </w:tcPr>
                <w:p w:rsidR="004D4C9C" w:rsidRPr="00B31C23" w:rsidRDefault="004D4C9C" w:rsidP="004D4C9C">
                  <w:r w:rsidRPr="00B31C23">
                    <w:t>1990</w:t>
                  </w:r>
                </w:p>
              </w:tc>
              <w:tc>
                <w:tcPr>
                  <w:tcW w:w="1331" w:type="dxa"/>
                  <w:hideMark/>
                </w:tcPr>
                <w:p w:rsidR="004D4C9C" w:rsidRPr="00B31C23" w:rsidRDefault="004D4C9C" w:rsidP="004D4C9C">
                  <w:r w:rsidRPr="00B31C23">
                    <w:t>2010</w:t>
                  </w:r>
                </w:p>
              </w:tc>
              <w:tc>
                <w:tcPr>
                  <w:tcW w:w="1331" w:type="dxa"/>
                  <w:hideMark/>
                </w:tcPr>
                <w:p w:rsidR="004D4C9C" w:rsidRPr="00B31C23" w:rsidRDefault="004D4C9C" w:rsidP="004D4C9C">
                  <w:r w:rsidRPr="00B31C23">
                    <w:t>2020</w:t>
                  </w:r>
                </w:p>
              </w:tc>
            </w:tr>
            <w:tr w:rsidR="004D4C9C" w:rsidRPr="00774152" w:rsidTr="00937876">
              <w:trPr>
                <w:trHeight w:val="117"/>
              </w:trPr>
              <w:tc>
                <w:tcPr>
                  <w:tcW w:w="1330" w:type="dxa"/>
                  <w:hideMark/>
                </w:tcPr>
                <w:p w:rsidR="004D4C9C" w:rsidRPr="00B31C23" w:rsidRDefault="004D4C9C" w:rsidP="004D4C9C">
                  <w:r w:rsidRPr="00B31C23">
                    <w:t>Antigua and Barbuda</w:t>
                  </w:r>
                </w:p>
              </w:tc>
              <w:tc>
                <w:tcPr>
                  <w:tcW w:w="1330" w:type="dxa"/>
                  <w:hideMark/>
                </w:tcPr>
                <w:p w:rsidR="004D4C9C" w:rsidRPr="00B31C23" w:rsidRDefault="004D4C9C" w:rsidP="004D4C9C">
                  <w:r w:rsidRPr="00B31C23">
                    <w:t>459M</w:t>
                  </w:r>
                </w:p>
              </w:tc>
              <w:tc>
                <w:tcPr>
                  <w:tcW w:w="1331" w:type="dxa"/>
                  <w:hideMark/>
                </w:tcPr>
                <w:p w:rsidR="004D4C9C" w:rsidRPr="00B31C23" w:rsidRDefault="004D4C9C" w:rsidP="004D4C9C">
                  <w:r w:rsidRPr="00B31C23">
                    <w:t>1.15B</w:t>
                  </w:r>
                </w:p>
              </w:tc>
              <w:tc>
                <w:tcPr>
                  <w:tcW w:w="1331" w:type="dxa"/>
                  <w:hideMark/>
                </w:tcPr>
                <w:p w:rsidR="004D4C9C" w:rsidRPr="00B31C23" w:rsidRDefault="004D4C9C" w:rsidP="004D4C9C">
                  <w:r w:rsidRPr="00B31C23">
                    <w:t>1.42B</w:t>
                  </w:r>
                </w:p>
              </w:tc>
            </w:tr>
            <w:tr w:rsidR="004D4C9C" w:rsidRPr="00774152" w:rsidTr="00937876">
              <w:trPr>
                <w:trHeight w:val="238"/>
              </w:trPr>
              <w:tc>
                <w:tcPr>
                  <w:tcW w:w="1330" w:type="dxa"/>
                  <w:hideMark/>
                </w:tcPr>
                <w:p w:rsidR="004D4C9C" w:rsidRPr="00B31C23" w:rsidRDefault="004D4C9C" w:rsidP="004D4C9C">
                  <w:r w:rsidRPr="00B31C23">
                    <w:t>Costa Rica</w:t>
                  </w:r>
                </w:p>
              </w:tc>
              <w:tc>
                <w:tcPr>
                  <w:tcW w:w="1330" w:type="dxa"/>
                  <w:hideMark/>
                </w:tcPr>
                <w:p w:rsidR="004D4C9C" w:rsidRPr="00B31C23" w:rsidRDefault="004D4C9C" w:rsidP="004D4C9C">
                  <w:r w:rsidRPr="00B31C23">
                    <w:t>5.71B</w:t>
                  </w:r>
                </w:p>
              </w:tc>
              <w:tc>
                <w:tcPr>
                  <w:tcW w:w="1331" w:type="dxa"/>
                  <w:hideMark/>
                </w:tcPr>
                <w:p w:rsidR="004D4C9C" w:rsidRPr="00B31C23" w:rsidRDefault="004D4C9C" w:rsidP="004D4C9C">
                  <w:r w:rsidRPr="00B31C23">
                    <w:t>37.7B</w:t>
                  </w:r>
                </w:p>
              </w:tc>
              <w:tc>
                <w:tcPr>
                  <w:tcW w:w="1331" w:type="dxa"/>
                  <w:hideMark/>
                </w:tcPr>
                <w:p w:rsidR="004D4C9C" w:rsidRPr="00B31C23" w:rsidRDefault="004D4C9C" w:rsidP="004D4C9C">
                  <w:r w:rsidRPr="00B31C23">
                    <w:t>62.4B</w:t>
                  </w:r>
                </w:p>
              </w:tc>
            </w:tr>
            <w:tr w:rsidR="004D4C9C" w:rsidRPr="00774152" w:rsidTr="00937876">
              <w:trPr>
                <w:trHeight w:val="117"/>
              </w:trPr>
              <w:tc>
                <w:tcPr>
                  <w:tcW w:w="1330" w:type="dxa"/>
                  <w:hideMark/>
                </w:tcPr>
                <w:p w:rsidR="004D4C9C" w:rsidRPr="00B31C23" w:rsidRDefault="004D4C9C" w:rsidP="004D4C9C">
                  <w:r w:rsidRPr="00B31C23">
                    <w:t>Algeria</w:t>
                  </w:r>
                </w:p>
              </w:tc>
              <w:tc>
                <w:tcPr>
                  <w:tcW w:w="1330" w:type="dxa"/>
                  <w:hideMark/>
                </w:tcPr>
                <w:p w:rsidR="004D4C9C" w:rsidRPr="00B31C23" w:rsidRDefault="004D4C9C" w:rsidP="004D4C9C">
                  <w:r w:rsidRPr="00B31C23">
                    <w:t>62.0B</w:t>
                  </w:r>
                </w:p>
              </w:tc>
              <w:tc>
                <w:tcPr>
                  <w:tcW w:w="1331" w:type="dxa"/>
                  <w:hideMark/>
                </w:tcPr>
                <w:p w:rsidR="004D4C9C" w:rsidRPr="00B31C23" w:rsidRDefault="004D4C9C" w:rsidP="004D4C9C">
                  <w:r w:rsidRPr="00B31C23">
                    <w:t>161.2B</w:t>
                  </w:r>
                </w:p>
              </w:tc>
              <w:tc>
                <w:tcPr>
                  <w:tcW w:w="1331" w:type="dxa"/>
                  <w:hideMark/>
                </w:tcPr>
                <w:p w:rsidR="004D4C9C" w:rsidRPr="00B31C23" w:rsidRDefault="004D4C9C" w:rsidP="004D4C9C">
                  <w:r w:rsidRPr="00B31C23">
                    <w:t>145.7B</w:t>
                  </w:r>
                </w:p>
              </w:tc>
            </w:tr>
            <w:tr w:rsidR="004D4C9C" w:rsidRPr="00774152" w:rsidTr="00937876">
              <w:trPr>
                <w:trHeight w:val="124"/>
              </w:trPr>
              <w:tc>
                <w:tcPr>
                  <w:tcW w:w="1330" w:type="dxa"/>
                  <w:hideMark/>
                </w:tcPr>
                <w:p w:rsidR="004D4C9C" w:rsidRPr="00B31C23" w:rsidRDefault="004D4C9C" w:rsidP="004D4C9C">
                  <w:r w:rsidRPr="00B31C23">
                    <w:t>Lesotho</w:t>
                  </w:r>
                </w:p>
              </w:tc>
              <w:tc>
                <w:tcPr>
                  <w:tcW w:w="1330" w:type="dxa"/>
                  <w:hideMark/>
                </w:tcPr>
                <w:p w:rsidR="004D4C9C" w:rsidRPr="00B31C23" w:rsidRDefault="004D4C9C" w:rsidP="004D4C9C">
                  <w:r w:rsidRPr="00B31C23">
                    <w:t>596M</w:t>
                  </w:r>
                </w:p>
              </w:tc>
              <w:tc>
                <w:tcPr>
                  <w:tcW w:w="1331" w:type="dxa"/>
                  <w:hideMark/>
                </w:tcPr>
                <w:p w:rsidR="004D4C9C" w:rsidRPr="00B31C23" w:rsidRDefault="004D4C9C" w:rsidP="004D4C9C">
                  <w:r w:rsidRPr="00B31C23">
                    <w:t>2.23B</w:t>
                  </w:r>
                </w:p>
              </w:tc>
              <w:tc>
                <w:tcPr>
                  <w:tcW w:w="1331" w:type="dxa"/>
                  <w:hideMark/>
                </w:tcPr>
                <w:p w:rsidR="004D4C9C" w:rsidRPr="00B31C23" w:rsidRDefault="004D4C9C" w:rsidP="004D4C9C">
                  <w:r w:rsidRPr="00B31C23">
                    <w:t>2.12B</w:t>
                  </w:r>
                </w:p>
              </w:tc>
            </w:tr>
            <w:tr w:rsidR="004D4C9C" w:rsidRPr="00774152" w:rsidTr="00937876">
              <w:trPr>
                <w:trHeight w:val="117"/>
              </w:trPr>
              <w:tc>
                <w:tcPr>
                  <w:tcW w:w="1330" w:type="dxa"/>
                  <w:hideMark/>
                </w:tcPr>
                <w:p w:rsidR="004D4C9C" w:rsidRPr="00B31C23" w:rsidRDefault="004D4C9C" w:rsidP="004D4C9C">
                  <w:r w:rsidRPr="00B31C23">
                    <w:t>Madagascar</w:t>
                  </w:r>
                </w:p>
              </w:tc>
              <w:tc>
                <w:tcPr>
                  <w:tcW w:w="1330" w:type="dxa"/>
                  <w:hideMark/>
                </w:tcPr>
                <w:p w:rsidR="004D4C9C" w:rsidRPr="00B31C23" w:rsidRDefault="004D4C9C" w:rsidP="004D4C9C">
                  <w:r w:rsidRPr="00B31C23">
                    <w:t>3.93B</w:t>
                  </w:r>
                </w:p>
              </w:tc>
              <w:tc>
                <w:tcPr>
                  <w:tcW w:w="1331" w:type="dxa"/>
                  <w:hideMark/>
                </w:tcPr>
                <w:p w:rsidR="004D4C9C" w:rsidRPr="00B31C23" w:rsidRDefault="004D4C9C" w:rsidP="004D4C9C">
                  <w:r w:rsidRPr="00B31C23">
                    <w:t>9.98B</w:t>
                  </w:r>
                </w:p>
              </w:tc>
              <w:tc>
                <w:tcPr>
                  <w:tcW w:w="1331" w:type="dxa"/>
                  <w:hideMark/>
                </w:tcPr>
                <w:p w:rsidR="004D4C9C" w:rsidRPr="00B31C23" w:rsidRDefault="004D4C9C" w:rsidP="004D4C9C">
                  <w:r w:rsidRPr="00B31C23">
                    <w:t>13.1B</w:t>
                  </w:r>
                </w:p>
              </w:tc>
            </w:tr>
            <w:tr w:rsidR="004D4C9C" w:rsidRPr="00774152" w:rsidTr="00937876">
              <w:trPr>
                <w:trHeight w:val="122"/>
              </w:trPr>
              <w:tc>
                <w:tcPr>
                  <w:tcW w:w="1330" w:type="dxa"/>
                  <w:hideMark/>
                </w:tcPr>
                <w:p w:rsidR="004D4C9C" w:rsidRPr="00B31C23" w:rsidRDefault="004D4C9C" w:rsidP="004D4C9C">
                  <w:r w:rsidRPr="00B31C23">
                    <w:t>Russian Federation</w:t>
                  </w:r>
                </w:p>
              </w:tc>
              <w:tc>
                <w:tcPr>
                  <w:tcW w:w="1330" w:type="dxa"/>
                  <w:hideMark/>
                </w:tcPr>
                <w:p w:rsidR="004D4C9C" w:rsidRPr="00B31C23" w:rsidRDefault="004D4C9C" w:rsidP="004D4C9C">
                  <w:r w:rsidRPr="00B31C23">
                    <w:t>517B</w:t>
                  </w:r>
                </w:p>
              </w:tc>
              <w:tc>
                <w:tcPr>
                  <w:tcW w:w="1331" w:type="dxa"/>
                  <w:hideMark/>
                </w:tcPr>
                <w:p w:rsidR="004D4C9C" w:rsidRPr="00B31C23" w:rsidRDefault="004D4C9C" w:rsidP="004D4C9C">
                  <w:r w:rsidRPr="00B31C23">
                    <w:t>1.52T</w:t>
                  </w:r>
                </w:p>
              </w:tc>
              <w:tc>
                <w:tcPr>
                  <w:tcW w:w="1331" w:type="dxa"/>
                  <w:hideMark/>
                </w:tcPr>
                <w:p w:rsidR="004D4C9C" w:rsidRPr="00B31C23" w:rsidRDefault="004D4C9C" w:rsidP="004D4C9C">
                  <w:r w:rsidRPr="00B31C23">
                    <w:t>1.49T</w:t>
                  </w:r>
                </w:p>
              </w:tc>
            </w:tr>
            <w:tr w:rsidR="004D4C9C" w:rsidRPr="00774152" w:rsidTr="00937876">
              <w:trPr>
                <w:trHeight w:val="117"/>
              </w:trPr>
              <w:tc>
                <w:tcPr>
                  <w:tcW w:w="1330" w:type="dxa"/>
                  <w:hideMark/>
                </w:tcPr>
                <w:p w:rsidR="004D4C9C" w:rsidRPr="00B31C23" w:rsidRDefault="004D4C9C" w:rsidP="004D4C9C">
                  <w:r w:rsidRPr="00B31C23">
                    <w:t>Suriname</w:t>
                  </w:r>
                </w:p>
              </w:tc>
              <w:tc>
                <w:tcPr>
                  <w:tcW w:w="1330" w:type="dxa"/>
                  <w:hideMark/>
                </w:tcPr>
                <w:p w:rsidR="004D4C9C" w:rsidRPr="00B31C23" w:rsidRDefault="004D4C9C" w:rsidP="004D4C9C">
                  <w:r w:rsidRPr="00B31C23">
                    <w:t>388M</w:t>
                  </w:r>
                </w:p>
              </w:tc>
              <w:tc>
                <w:tcPr>
                  <w:tcW w:w="1331" w:type="dxa"/>
                  <w:hideMark/>
                </w:tcPr>
                <w:p w:rsidR="004D4C9C" w:rsidRPr="00B31C23" w:rsidRDefault="004D4C9C" w:rsidP="004D4C9C">
                  <w:r w:rsidRPr="00B31C23">
                    <w:t>4.37B</w:t>
                  </w:r>
                </w:p>
              </w:tc>
              <w:tc>
                <w:tcPr>
                  <w:tcW w:w="1331" w:type="dxa"/>
                  <w:hideMark/>
                </w:tcPr>
                <w:p w:rsidR="004D4C9C" w:rsidRPr="00B31C23" w:rsidRDefault="004D4C9C" w:rsidP="004D4C9C">
                  <w:r w:rsidRPr="00B31C23">
                    <w:t>2.91B</w:t>
                  </w:r>
                </w:p>
              </w:tc>
            </w:tr>
            <w:tr w:rsidR="004D4C9C" w:rsidRPr="00774152" w:rsidTr="00937876">
              <w:trPr>
                <w:trHeight w:val="124"/>
              </w:trPr>
              <w:tc>
                <w:tcPr>
                  <w:tcW w:w="1330" w:type="dxa"/>
                  <w:hideMark/>
                </w:tcPr>
                <w:p w:rsidR="004D4C9C" w:rsidRPr="00B31C23" w:rsidRDefault="004D4C9C" w:rsidP="004D4C9C">
                  <w:r w:rsidRPr="00B31C23">
                    <w:t>Sweden</w:t>
                  </w:r>
                </w:p>
              </w:tc>
              <w:tc>
                <w:tcPr>
                  <w:tcW w:w="1330" w:type="dxa"/>
                  <w:hideMark/>
                </w:tcPr>
                <w:p w:rsidR="004D4C9C" w:rsidRPr="00B31C23" w:rsidRDefault="004D4C9C" w:rsidP="004D4C9C">
                  <w:r w:rsidRPr="00B31C23">
                    <w:t>261.8B</w:t>
                  </w:r>
                </w:p>
              </w:tc>
              <w:tc>
                <w:tcPr>
                  <w:tcW w:w="1331" w:type="dxa"/>
                  <w:hideMark/>
                </w:tcPr>
                <w:p w:rsidR="004D4C9C" w:rsidRPr="00B31C23" w:rsidRDefault="004D4C9C" w:rsidP="004D4C9C">
                  <w:r w:rsidRPr="00B31C23">
                    <w:t>495.8B</w:t>
                  </w:r>
                </w:p>
              </w:tc>
              <w:tc>
                <w:tcPr>
                  <w:tcW w:w="1331" w:type="dxa"/>
                  <w:hideMark/>
                </w:tcPr>
                <w:p w:rsidR="004D4C9C" w:rsidRPr="00B31C23" w:rsidRDefault="004D4C9C" w:rsidP="004D4C9C">
                  <w:r w:rsidRPr="00B31C23">
                    <w:t>547.1B</w:t>
                  </w:r>
                </w:p>
              </w:tc>
            </w:tr>
            <w:tr w:rsidR="004D4C9C" w:rsidRPr="00774152" w:rsidTr="00937876">
              <w:trPr>
                <w:trHeight w:val="124"/>
              </w:trPr>
              <w:tc>
                <w:tcPr>
                  <w:tcW w:w="1330" w:type="dxa"/>
                  <w:hideMark/>
                </w:tcPr>
                <w:p w:rsidR="004D4C9C" w:rsidRPr="00B31C23" w:rsidRDefault="004D4C9C" w:rsidP="004D4C9C">
                  <w:r w:rsidRPr="00B31C23">
                    <w:t>Togo</w:t>
                  </w:r>
                </w:p>
              </w:tc>
              <w:tc>
                <w:tcPr>
                  <w:tcW w:w="1330" w:type="dxa"/>
                  <w:hideMark/>
                </w:tcPr>
                <w:p w:rsidR="004D4C9C" w:rsidRPr="00B31C23" w:rsidRDefault="004D4C9C" w:rsidP="004D4C9C">
                  <w:r w:rsidRPr="00B31C23">
                    <w:t>2.21B</w:t>
                  </w:r>
                </w:p>
              </w:tc>
              <w:tc>
                <w:tcPr>
                  <w:tcW w:w="1331" w:type="dxa"/>
                  <w:hideMark/>
                </w:tcPr>
                <w:p w:rsidR="004D4C9C" w:rsidRPr="00B31C23" w:rsidRDefault="004D4C9C" w:rsidP="004D4C9C">
                  <w:r w:rsidRPr="00B31C23">
                    <w:t>4.66B</w:t>
                  </w:r>
                </w:p>
              </w:tc>
              <w:tc>
                <w:tcPr>
                  <w:tcW w:w="1331" w:type="dxa"/>
                  <w:hideMark/>
                </w:tcPr>
                <w:p w:rsidR="004D4C9C" w:rsidRPr="00B31C23" w:rsidRDefault="004D4C9C" w:rsidP="004D4C9C">
                  <w:r w:rsidRPr="00B31C23">
                    <w:t>7.39B</w:t>
                  </w:r>
                </w:p>
              </w:tc>
            </w:tr>
            <w:tr w:rsidR="004D4C9C" w:rsidRPr="00774152" w:rsidTr="00937876">
              <w:trPr>
                <w:trHeight w:val="117"/>
              </w:trPr>
              <w:tc>
                <w:tcPr>
                  <w:tcW w:w="1330" w:type="dxa"/>
                  <w:hideMark/>
                </w:tcPr>
                <w:p w:rsidR="004D4C9C" w:rsidRPr="00B31C23" w:rsidRDefault="004D4C9C" w:rsidP="004D4C9C">
                  <w:r w:rsidRPr="00B31C23">
                    <w:t>Zimbabwe</w:t>
                  </w:r>
                </w:p>
              </w:tc>
              <w:tc>
                <w:tcPr>
                  <w:tcW w:w="1330" w:type="dxa"/>
                  <w:hideMark/>
                </w:tcPr>
                <w:p w:rsidR="004D4C9C" w:rsidRPr="00B31C23" w:rsidRDefault="004D4C9C" w:rsidP="004D4C9C">
                  <w:r w:rsidRPr="00B31C23">
                    <w:t>8.78B</w:t>
                  </w:r>
                </w:p>
              </w:tc>
              <w:tc>
                <w:tcPr>
                  <w:tcW w:w="1331" w:type="dxa"/>
                  <w:hideMark/>
                </w:tcPr>
                <w:p w:rsidR="004D4C9C" w:rsidRPr="00B31C23" w:rsidRDefault="004D4C9C" w:rsidP="004D4C9C">
                  <w:r w:rsidRPr="00B31C23">
                    <w:t>12.0B</w:t>
                  </w:r>
                </w:p>
              </w:tc>
              <w:tc>
                <w:tcPr>
                  <w:tcW w:w="1331" w:type="dxa"/>
                  <w:hideMark/>
                </w:tcPr>
                <w:p w:rsidR="004D4C9C" w:rsidRDefault="004D4C9C" w:rsidP="004D4C9C">
                  <w:r w:rsidRPr="00B31C23">
                    <w:t>21.5B</w:t>
                  </w:r>
                </w:p>
              </w:tc>
            </w:tr>
            <w:tr w:rsidR="004D4C9C" w:rsidRPr="00774152" w:rsidTr="00937876">
              <w:trPr>
                <w:trHeight w:val="117"/>
              </w:trPr>
              <w:tc>
                <w:tcPr>
                  <w:tcW w:w="1330" w:type="dxa"/>
                  <w:hideMark/>
                </w:tcPr>
                <w:p w:rsidR="004D4C9C" w:rsidRPr="00B31C23" w:rsidRDefault="004D4C9C" w:rsidP="004D4C9C">
                  <w:r w:rsidRPr="00B31C23">
                    <w:t>Country</w:t>
                  </w:r>
                </w:p>
              </w:tc>
              <w:tc>
                <w:tcPr>
                  <w:tcW w:w="1330" w:type="dxa"/>
                  <w:hideMark/>
                </w:tcPr>
                <w:p w:rsidR="004D4C9C" w:rsidRPr="00B31C23" w:rsidRDefault="004D4C9C" w:rsidP="004D4C9C">
                  <w:r w:rsidRPr="00B31C23">
                    <w:t>1990</w:t>
                  </w:r>
                </w:p>
              </w:tc>
              <w:tc>
                <w:tcPr>
                  <w:tcW w:w="1331" w:type="dxa"/>
                  <w:hideMark/>
                </w:tcPr>
                <w:p w:rsidR="004D4C9C" w:rsidRPr="00B31C23" w:rsidRDefault="004D4C9C" w:rsidP="004D4C9C">
                  <w:r w:rsidRPr="00B31C23">
                    <w:t>2010</w:t>
                  </w:r>
                </w:p>
              </w:tc>
              <w:tc>
                <w:tcPr>
                  <w:tcW w:w="1331" w:type="dxa"/>
                  <w:hideMark/>
                </w:tcPr>
                <w:p w:rsidR="004D4C9C" w:rsidRPr="00B31C23" w:rsidRDefault="004D4C9C" w:rsidP="004D4C9C">
                  <w:r w:rsidRPr="00B31C23">
                    <w:t>2020</w:t>
                  </w:r>
                </w:p>
              </w:tc>
            </w:tr>
          </w:tbl>
          <w:p w:rsidR="00937876" w:rsidRDefault="00BD4DD0" w:rsidP="00F527CF">
            <w:pPr>
              <w:ind w:right="48"/>
              <w:jc w:val="both"/>
            </w:pPr>
            <w:r w:rsidRPr="00BD4DD0">
              <w:t xml:space="preserve">The table shows the GDP data for several countries for the years 1990, 2010, and 2020. The GDP of a country is the total economic output generated inside its borders during a specific time. Analyzing the GDP numbers over time provides information about the economic bust in each country.  The GDP of some countries, like Algeria and </w:t>
            </w:r>
            <w:r w:rsidRPr="00BD4DD0">
              <w:lastRenderedPageBreak/>
              <w:t>Russia, increased greatly between 1990 and 2020, and the GDP of other countries, like Lesotho and Suriname, very slightly increased during the same time frame.</w:t>
            </w:r>
          </w:p>
        </w:tc>
      </w:tr>
      <w:tr w:rsidR="000D0620" w:rsidTr="009A1917">
        <w:trPr>
          <w:trHeight w:val="1333"/>
        </w:trPr>
        <w:tc>
          <w:tcPr>
            <w:tcW w:w="5382" w:type="dxa"/>
          </w:tcPr>
          <w:p w:rsidR="00E71D9B" w:rsidRDefault="00E71D9B" w:rsidP="00E71D9B">
            <w:pPr>
              <w:ind w:right="48"/>
              <w:jc w:val="both"/>
              <w:rPr>
                <w:noProof/>
              </w:rPr>
            </w:pPr>
            <w:r>
              <w:rPr>
                <w:noProof/>
              </w:rPr>
              <w:drawing>
                <wp:inline distT="0" distB="0" distL="0" distR="0">
                  <wp:extent cx="3286125" cy="2239645"/>
                  <wp:effectExtent l="0" t="0" r="9525" b="8255"/>
                  <wp:docPr id="1"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9002" cy="2241606"/>
                          </a:xfrm>
                          <a:prstGeom prst="rect">
                            <a:avLst/>
                          </a:prstGeom>
                          <a:noFill/>
                          <a:ln>
                            <a:noFill/>
                          </a:ln>
                        </pic:spPr>
                      </pic:pic>
                    </a:graphicData>
                  </a:graphic>
                </wp:inline>
              </w:drawing>
            </w:r>
          </w:p>
        </w:tc>
        <w:tc>
          <w:tcPr>
            <w:tcW w:w="5528" w:type="dxa"/>
          </w:tcPr>
          <w:p w:rsidR="000D0620" w:rsidRPr="00F15548" w:rsidRDefault="00E71D9B" w:rsidP="000D0620">
            <w:pPr>
              <w:ind w:right="48"/>
            </w:pPr>
            <w:r>
              <w:rPr>
                <w:noProof/>
              </w:rPr>
              <w:drawing>
                <wp:inline distT="0" distB="0" distL="0" distR="0">
                  <wp:extent cx="3419475" cy="2214880"/>
                  <wp:effectExtent l="0" t="0" r="9525" b="0"/>
                  <wp:docPr id="2" name="Picture 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3997" cy="2217809"/>
                          </a:xfrm>
                          <a:prstGeom prst="rect">
                            <a:avLst/>
                          </a:prstGeom>
                          <a:noFill/>
                          <a:ln>
                            <a:noFill/>
                          </a:ln>
                        </pic:spPr>
                      </pic:pic>
                    </a:graphicData>
                  </a:graphic>
                </wp:inline>
              </w:drawing>
            </w:r>
          </w:p>
        </w:tc>
      </w:tr>
      <w:tr w:rsidR="00F15548" w:rsidTr="009A1917">
        <w:tc>
          <w:tcPr>
            <w:tcW w:w="5382" w:type="dxa"/>
          </w:tcPr>
          <w:p w:rsidR="00F15548" w:rsidRDefault="00BD4DD0" w:rsidP="00000B0B">
            <w:pPr>
              <w:ind w:right="48"/>
              <w:jc w:val="both"/>
            </w:pPr>
            <w:r w:rsidRPr="00BD4DD0">
              <w:t>Madagascar uses a lot of renewable energy as its location—plenty of sun and water supplies—makes it ideal for capturing solar and hydroelectric power. Because of the availability of natural resources, such as hydropower, solar energy, and biomass, the country may mostly rely on renewable energy sources. Government initiatives promoting the development of renewable energy sources in concert with alliances or foreign aid may encourage investments in sustainable energy infrastructure.</w:t>
            </w:r>
          </w:p>
        </w:tc>
        <w:tc>
          <w:tcPr>
            <w:tcW w:w="5528" w:type="dxa"/>
          </w:tcPr>
          <w:p w:rsidR="00F15548" w:rsidRDefault="00BD4DD0" w:rsidP="00F527CF">
            <w:pPr>
              <w:ind w:right="48"/>
              <w:jc w:val="both"/>
            </w:pPr>
            <w:r w:rsidRPr="00BD4DD0">
              <w:t>Algeria gains from beneficial geographic features such as reservoirs and water reservoirs, which give it an abundance of freshwater supplies. If considered collectively, these factors may lead to the country maintaining a high percentage of fresh water, showing a strong commitment to protecting and utilizing this vital resource for many national industries. The country's vast groundwater reserves and effective water management practices may help to explain it. Algeria may have made significant investments in water-saving technologies like irrigation control systems and desalination plants.</w:t>
            </w:r>
          </w:p>
        </w:tc>
      </w:tr>
      <w:tr w:rsidR="00F15548" w:rsidTr="009A1917">
        <w:tc>
          <w:tcPr>
            <w:tcW w:w="5382" w:type="dxa"/>
          </w:tcPr>
          <w:p w:rsidR="00F15548" w:rsidRDefault="00AB3658" w:rsidP="00F15548">
            <w:pPr>
              <w:ind w:right="48"/>
            </w:pPr>
            <w:r>
              <w:pict>
                <v:shape id="_x0000_i1028" type="#_x0000_t75" style="width:258.5pt;height:164pt">
                  <v:imagedata r:id="rId12" o:title="05"/>
                </v:shape>
              </w:pict>
            </w:r>
          </w:p>
        </w:tc>
        <w:tc>
          <w:tcPr>
            <w:tcW w:w="5528" w:type="dxa"/>
          </w:tcPr>
          <w:p w:rsidR="00F15548" w:rsidRDefault="00AB3658" w:rsidP="00F15548">
            <w:pPr>
              <w:ind w:right="48"/>
            </w:pPr>
            <w:r>
              <w:pict>
                <v:shape id="_x0000_i1029" type="#_x0000_t75" style="width:266pt;height:165.5pt">
                  <v:imagedata r:id="rId13" o:title="03"/>
                </v:shape>
              </w:pict>
            </w:r>
          </w:p>
        </w:tc>
      </w:tr>
      <w:tr w:rsidR="00F15548" w:rsidTr="009A1917">
        <w:tc>
          <w:tcPr>
            <w:tcW w:w="5382" w:type="dxa"/>
          </w:tcPr>
          <w:p w:rsidR="00305E4B" w:rsidRDefault="00BD4DD0" w:rsidP="00E71D9B">
            <w:pPr>
              <w:jc w:val="both"/>
            </w:pPr>
            <w:r w:rsidRPr="00BD4DD0">
              <w:t xml:space="preserve">There is a positive correlation between the GDP and several variables, such as the population residing in urban areas, greenhouse gas emissions, and grain output. This correlation shows the strong relationship between economic growth and increasing levels of industrialization, urbanization, and agricultural output. The accessibility of fresh water is found to be negatively correlated with most other features, indicating that when certain variables, such as GDP, population, and energy consumption, rise, so does the availability of fresh water. </w:t>
            </w:r>
          </w:p>
        </w:tc>
        <w:tc>
          <w:tcPr>
            <w:tcW w:w="5528" w:type="dxa"/>
          </w:tcPr>
          <w:p w:rsidR="00305E4B" w:rsidRDefault="00BD4DD0" w:rsidP="00E25906">
            <w:pPr>
              <w:ind w:right="48"/>
              <w:jc w:val="both"/>
            </w:pPr>
            <w:r w:rsidRPr="00BD4DD0">
              <w:t>The positive correlations between several variables, such as GDP, population, CO2 emissions, and greenhouse gas emissions, suggest that these variables are strongly interconnected. This shows that when one element increases in the Algerian environment, the others typically follow suit. The population, greenhouse gas emissions, and CO2 emissions are all negatively connected with the utilization of renewable energy. This negative link would indicate that Algeria is taking steps to reduce its reliance on fossil fuels, which would reduce emissions and promote the use of more environmentally friendly energy sources.</w:t>
            </w:r>
          </w:p>
        </w:tc>
      </w:tr>
    </w:tbl>
    <w:p w:rsidR="00C82977" w:rsidRDefault="00C82977" w:rsidP="00C42CA8">
      <w:pPr>
        <w:sectPr w:rsidR="00C82977" w:rsidSect="00921149">
          <w:pgSz w:w="12240" w:h="15840"/>
          <w:pgMar w:top="850" w:right="850" w:bottom="850" w:left="850" w:header="0" w:footer="0" w:gutter="0"/>
          <w:cols w:space="720"/>
          <w:docGrid w:linePitch="360"/>
        </w:sectPr>
      </w:pPr>
    </w:p>
    <w:p w:rsidR="00C82977" w:rsidRDefault="00C82977" w:rsidP="00551ABD">
      <w:pPr>
        <w:ind w:right="1440"/>
        <w:sectPr w:rsidR="00C82977" w:rsidSect="00921149">
          <w:type w:val="continuous"/>
          <w:pgSz w:w="12240" w:h="15840"/>
          <w:pgMar w:top="850" w:right="850" w:bottom="850" w:left="850" w:header="720" w:footer="720" w:gutter="0"/>
          <w:cols w:num="2" w:space="720"/>
          <w:docGrid w:linePitch="360"/>
        </w:sectPr>
      </w:pPr>
    </w:p>
    <w:p w:rsidR="00305E4B" w:rsidRDefault="00305E4B" w:rsidP="008B3160"/>
    <w:sectPr w:rsidR="00305E4B" w:rsidSect="00921149">
      <w:type w:val="continuous"/>
      <w:pgSz w:w="12240" w:h="15840"/>
      <w:pgMar w:top="850" w:right="850" w:bottom="850" w:left="8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B2C" w:rsidRDefault="00886B2C" w:rsidP="00F74B5D">
      <w:pPr>
        <w:spacing w:after="0" w:line="240" w:lineRule="auto"/>
      </w:pPr>
      <w:r>
        <w:separator/>
      </w:r>
    </w:p>
  </w:endnote>
  <w:endnote w:type="continuationSeparator" w:id="0">
    <w:p w:rsidR="00886B2C" w:rsidRDefault="00886B2C" w:rsidP="00F7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B2C" w:rsidRDefault="00886B2C" w:rsidP="00F74B5D">
      <w:pPr>
        <w:spacing w:after="0" w:line="240" w:lineRule="auto"/>
      </w:pPr>
      <w:r>
        <w:separator/>
      </w:r>
    </w:p>
  </w:footnote>
  <w:footnote w:type="continuationSeparator" w:id="0">
    <w:p w:rsidR="00886B2C" w:rsidRDefault="00886B2C" w:rsidP="00F74B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AUSxuamJqYGxiaGFko6SsGpxcWZ+XkgBYbmtQDoFbgaLQAAAA=="/>
  </w:docVars>
  <w:rsids>
    <w:rsidRoot w:val="00F74B5D"/>
    <w:rsid w:val="00000B0B"/>
    <w:rsid w:val="00055878"/>
    <w:rsid w:val="00065D0C"/>
    <w:rsid w:val="0006695D"/>
    <w:rsid w:val="000D0620"/>
    <w:rsid w:val="000E33D0"/>
    <w:rsid w:val="001130EC"/>
    <w:rsid w:val="00124998"/>
    <w:rsid w:val="0020471F"/>
    <w:rsid w:val="0024671B"/>
    <w:rsid w:val="00283B39"/>
    <w:rsid w:val="002C2750"/>
    <w:rsid w:val="002E5085"/>
    <w:rsid w:val="00305E4B"/>
    <w:rsid w:val="00350BAE"/>
    <w:rsid w:val="00354A4C"/>
    <w:rsid w:val="003A2BD6"/>
    <w:rsid w:val="003F763F"/>
    <w:rsid w:val="00482D4C"/>
    <w:rsid w:val="004A3C5E"/>
    <w:rsid w:val="004B146C"/>
    <w:rsid w:val="004D4C9C"/>
    <w:rsid w:val="005352A5"/>
    <w:rsid w:val="00551ABD"/>
    <w:rsid w:val="005521CB"/>
    <w:rsid w:val="006208D8"/>
    <w:rsid w:val="006308A7"/>
    <w:rsid w:val="0063573E"/>
    <w:rsid w:val="00636E6B"/>
    <w:rsid w:val="006462DE"/>
    <w:rsid w:val="00652E66"/>
    <w:rsid w:val="00677C27"/>
    <w:rsid w:val="00683D3D"/>
    <w:rsid w:val="006A1DC3"/>
    <w:rsid w:val="006A4F86"/>
    <w:rsid w:val="006B04A3"/>
    <w:rsid w:val="00707F2D"/>
    <w:rsid w:val="00774152"/>
    <w:rsid w:val="00787CCD"/>
    <w:rsid w:val="00795318"/>
    <w:rsid w:val="007D4D88"/>
    <w:rsid w:val="007F285E"/>
    <w:rsid w:val="00807DCD"/>
    <w:rsid w:val="00886B2C"/>
    <w:rsid w:val="008B3160"/>
    <w:rsid w:val="008C4F3B"/>
    <w:rsid w:val="00900480"/>
    <w:rsid w:val="0091205C"/>
    <w:rsid w:val="00921149"/>
    <w:rsid w:val="00922ABA"/>
    <w:rsid w:val="00937876"/>
    <w:rsid w:val="00961F92"/>
    <w:rsid w:val="009A1917"/>
    <w:rsid w:val="009B5CA3"/>
    <w:rsid w:val="00A02875"/>
    <w:rsid w:val="00A11D22"/>
    <w:rsid w:val="00A33C3F"/>
    <w:rsid w:val="00AB3658"/>
    <w:rsid w:val="00B364DE"/>
    <w:rsid w:val="00B87B1A"/>
    <w:rsid w:val="00BC7607"/>
    <w:rsid w:val="00BC7F64"/>
    <w:rsid w:val="00BD4DD0"/>
    <w:rsid w:val="00C15083"/>
    <w:rsid w:val="00C42CA8"/>
    <w:rsid w:val="00C82977"/>
    <w:rsid w:val="00CB42C9"/>
    <w:rsid w:val="00D24603"/>
    <w:rsid w:val="00D572A9"/>
    <w:rsid w:val="00D86320"/>
    <w:rsid w:val="00D95670"/>
    <w:rsid w:val="00E12F81"/>
    <w:rsid w:val="00E13DCC"/>
    <w:rsid w:val="00E25906"/>
    <w:rsid w:val="00E3146E"/>
    <w:rsid w:val="00E413B8"/>
    <w:rsid w:val="00E43372"/>
    <w:rsid w:val="00E71D9B"/>
    <w:rsid w:val="00F15548"/>
    <w:rsid w:val="00F27FB4"/>
    <w:rsid w:val="00F51BD0"/>
    <w:rsid w:val="00F527CF"/>
    <w:rsid w:val="00F74B5D"/>
    <w:rsid w:val="00F77284"/>
    <w:rsid w:val="00F90EF3"/>
    <w:rsid w:val="00FC51EB"/>
    <w:rsid w:val="00FE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3946"/>
  <w15:chartTrackingRefBased/>
  <w15:docId w15:val="{FE524259-9A45-4337-944A-155D09D5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B5D"/>
  </w:style>
  <w:style w:type="paragraph" w:styleId="Footer">
    <w:name w:val="footer"/>
    <w:basedOn w:val="Normal"/>
    <w:link w:val="FooterChar"/>
    <w:uiPriority w:val="99"/>
    <w:unhideWhenUsed/>
    <w:rsid w:val="00F74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B5D"/>
  </w:style>
  <w:style w:type="character" w:styleId="LineNumber">
    <w:name w:val="line number"/>
    <w:basedOn w:val="DefaultParagraphFont"/>
    <w:uiPriority w:val="99"/>
    <w:semiHidden/>
    <w:unhideWhenUsed/>
    <w:rsid w:val="006462DE"/>
  </w:style>
  <w:style w:type="table" w:styleId="TableGrid">
    <w:name w:val="Table Grid"/>
    <w:basedOn w:val="TableNormal"/>
    <w:uiPriority w:val="39"/>
    <w:rsid w:val="00F1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004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480"/>
    <w:rPr>
      <w:sz w:val="20"/>
      <w:szCs w:val="20"/>
    </w:rPr>
  </w:style>
  <w:style w:type="character" w:styleId="FootnoteReference">
    <w:name w:val="footnote reference"/>
    <w:basedOn w:val="DefaultParagraphFont"/>
    <w:uiPriority w:val="99"/>
    <w:semiHidden/>
    <w:unhideWhenUsed/>
    <w:rsid w:val="009004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766053">
      <w:bodyDiv w:val="1"/>
      <w:marLeft w:val="0"/>
      <w:marRight w:val="0"/>
      <w:marTop w:val="0"/>
      <w:marBottom w:val="0"/>
      <w:divBdr>
        <w:top w:val="none" w:sz="0" w:space="0" w:color="auto"/>
        <w:left w:val="none" w:sz="0" w:space="0" w:color="auto"/>
        <w:bottom w:val="none" w:sz="0" w:space="0" w:color="auto"/>
        <w:right w:val="none" w:sz="0" w:space="0" w:color="auto"/>
      </w:divBdr>
    </w:div>
    <w:div w:id="15434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D852-FE32-4B9A-B56A-D4973141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Ahmad</dc:creator>
  <cp:keywords/>
  <dc:description/>
  <cp:lastModifiedBy>MR</cp:lastModifiedBy>
  <cp:revision>12</cp:revision>
  <cp:lastPrinted>2023-12-12T09:07:00Z</cp:lastPrinted>
  <dcterms:created xsi:type="dcterms:W3CDTF">2023-12-11T10:23:00Z</dcterms:created>
  <dcterms:modified xsi:type="dcterms:W3CDTF">2023-12-13T22:20:00Z</dcterms:modified>
</cp:coreProperties>
</file>